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21" w:rsidRPr="002669E0" w:rsidRDefault="00A61621" w:rsidP="00A61621">
      <w:pPr>
        <w:jc w:val="center"/>
        <w:rPr>
          <w:b/>
          <w:bCs/>
          <w:szCs w:val="24"/>
        </w:rPr>
      </w:pPr>
      <w:r w:rsidRPr="002669E0">
        <w:rPr>
          <w:noProof/>
          <w:szCs w:val="24"/>
          <w:lang w:eastAsia="lt-LT"/>
        </w:rPr>
        <w:drawing>
          <wp:inline distT="0" distB="0" distL="0" distR="0">
            <wp:extent cx="504825" cy="590550"/>
            <wp:effectExtent l="0" t="0" r="9525" b="0"/>
            <wp:docPr id="29" name="Paveikslėlis 16" descr="baltos zu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tos zuvy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590550"/>
                    </a:xfrm>
                    <a:prstGeom prst="rect">
                      <a:avLst/>
                    </a:prstGeom>
                    <a:noFill/>
                    <a:ln>
                      <a:noFill/>
                    </a:ln>
                  </pic:spPr>
                </pic:pic>
              </a:graphicData>
            </a:graphic>
          </wp:inline>
        </w:drawing>
      </w:r>
    </w:p>
    <w:p w:rsidR="005D1600" w:rsidRDefault="005D1600" w:rsidP="00A61621">
      <w:pPr>
        <w:jc w:val="center"/>
        <w:rPr>
          <w:b/>
          <w:szCs w:val="24"/>
        </w:rPr>
      </w:pPr>
    </w:p>
    <w:p w:rsidR="00A61621" w:rsidRPr="002669E0" w:rsidRDefault="00A61621" w:rsidP="00A61621">
      <w:pPr>
        <w:jc w:val="center"/>
        <w:rPr>
          <w:b/>
          <w:szCs w:val="24"/>
        </w:rPr>
      </w:pPr>
      <w:r w:rsidRPr="002669E0">
        <w:rPr>
          <w:b/>
          <w:szCs w:val="24"/>
        </w:rPr>
        <w:t>ŠVENČIONIŲ RAJONO SAVIVALDYBĖS ADMINISTRACIJOS</w:t>
      </w:r>
    </w:p>
    <w:p w:rsidR="00A61621" w:rsidRPr="002669E0" w:rsidRDefault="00A61621" w:rsidP="00A61621">
      <w:pPr>
        <w:jc w:val="center"/>
        <w:rPr>
          <w:b/>
          <w:szCs w:val="24"/>
        </w:rPr>
      </w:pPr>
      <w:r w:rsidRPr="002669E0">
        <w:rPr>
          <w:b/>
          <w:szCs w:val="24"/>
        </w:rPr>
        <w:t>DIREKTORIUS</w:t>
      </w:r>
    </w:p>
    <w:p w:rsidR="00A61621" w:rsidRDefault="00A61621" w:rsidP="00A61621">
      <w:pPr>
        <w:jc w:val="center"/>
        <w:rPr>
          <w:b/>
          <w:szCs w:val="24"/>
        </w:rPr>
      </w:pPr>
    </w:p>
    <w:p w:rsidR="005D1600" w:rsidRPr="002669E0" w:rsidRDefault="005D1600" w:rsidP="00A61621">
      <w:pPr>
        <w:jc w:val="center"/>
        <w:rPr>
          <w:b/>
          <w:szCs w:val="24"/>
        </w:rPr>
      </w:pPr>
    </w:p>
    <w:p w:rsidR="00A61621" w:rsidRPr="002669E0" w:rsidRDefault="00A61621" w:rsidP="00A61621">
      <w:pPr>
        <w:jc w:val="center"/>
        <w:rPr>
          <w:b/>
          <w:szCs w:val="24"/>
        </w:rPr>
      </w:pPr>
      <w:r w:rsidRPr="002669E0">
        <w:rPr>
          <w:b/>
          <w:szCs w:val="24"/>
        </w:rPr>
        <w:t>ĮSAKYMAS</w:t>
      </w:r>
    </w:p>
    <w:p w:rsidR="00A61621" w:rsidRPr="002669E0" w:rsidRDefault="00A61621" w:rsidP="00A61621">
      <w:pPr>
        <w:jc w:val="center"/>
        <w:rPr>
          <w:b/>
          <w:szCs w:val="24"/>
        </w:rPr>
      </w:pPr>
      <w:r w:rsidRPr="002669E0">
        <w:rPr>
          <w:b/>
          <w:szCs w:val="24"/>
        </w:rPr>
        <w:t xml:space="preserve">DĖL KOKYBĖS VADYBOS SISTEMOS RIZIKŲ </w:t>
      </w:r>
      <w:r w:rsidR="001F7E03">
        <w:rPr>
          <w:b/>
          <w:szCs w:val="24"/>
        </w:rPr>
        <w:t xml:space="preserve">IR GALIMYBIŲ </w:t>
      </w:r>
      <w:r>
        <w:rPr>
          <w:b/>
          <w:szCs w:val="24"/>
        </w:rPr>
        <w:t>ANALIZĖS</w:t>
      </w:r>
      <w:r w:rsidRPr="002669E0">
        <w:rPr>
          <w:b/>
          <w:szCs w:val="24"/>
        </w:rPr>
        <w:t xml:space="preserve"> METODIKOS ĮGYVENDINIMO ŠVENČIONIŲ RAJONO SAVIVALDYBĖS ADMINISTRACIJOJE </w:t>
      </w:r>
      <w:r w:rsidR="00BA76E1">
        <w:rPr>
          <w:b/>
          <w:szCs w:val="24"/>
        </w:rPr>
        <w:t xml:space="preserve">TVARKOS APRAŠO </w:t>
      </w:r>
      <w:r w:rsidRPr="002669E0">
        <w:rPr>
          <w:b/>
          <w:szCs w:val="24"/>
        </w:rPr>
        <w:t xml:space="preserve">PATVIRTINIMO </w:t>
      </w:r>
    </w:p>
    <w:p w:rsidR="005D1600" w:rsidRDefault="005D1600" w:rsidP="00A61621">
      <w:pPr>
        <w:keepNext/>
        <w:overflowPunct w:val="0"/>
        <w:jc w:val="center"/>
        <w:textAlignment w:val="baseline"/>
        <w:outlineLvl w:val="3"/>
        <w:rPr>
          <w:bCs/>
          <w:szCs w:val="24"/>
        </w:rPr>
      </w:pPr>
    </w:p>
    <w:p w:rsidR="00A61621" w:rsidRPr="002669E0" w:rsidRDefault="00A61621" w:rsidP="00A61621">
      <w:pPr>
        <w:keepNext/>
        <w:overflowPunct w:val="0"/>
        <w:jc w:val="center"/>
        <w:textAlignment w:val="baseline"/>
        <w:outlineLvl w:val="3"/>
        <w:rPr>
          <w:bCs/>
          <w:szCs w:val="24"/>
        </w:rPr>
      </w:pPr>
      <w:r w:rsidRPr="002669E0">
        <w:rPr>
          <w:bCs/>
          <w:szCs w:val="24"/>
        </w:rPr>
        <w:t xml:space="preserve">2020 m. </w:t>
      </w:r>
      <w:r w:rsidR="00BE1F37">
        <w:rPr>
          <w:bCs/>
          <w:szCs w:val="24"/>
        </w:rPr>
        <w:t xml:space="preserve">birželio 26 </w:t>
      </w:r>
      <w:r w:rsidRPr="002669E0">
        <w:rPr>
          <w:bCs/>
          <w:szCs w:val="24"/>
        </w:rPr>
        <w:t xml:space="preserve"> d.   Nr. A-</w:t>
      </w:r>
      <w:r w:rsidR="00BE1F37">
        <w:rPr>
          <w:bCs/>
          <w:szCs w:val="24"/>
        </w:rPr>
        <w:t>429</w:t>
      </w:r>
    </w:p>
    <w:p w:rsidR="00A61621" w:rsidRPr="002669E0" w:rsidRDefault="00A61621" w:rsidP="00A61621">
      <w:pPr>
        <w:keepNext/>
        <w:overflowPunct w:val="0"/>
        <w:jc w:val="center"/>
        <w:textAlignment w:val="baseline"/>
        <w:outlineLvl w:val="3"/>
        <w:rPr>
          <w:bCs/>
          <w:szCs w:val="24"/>
        </w:rPr>
      </w:pPr>
      <w:r w:rsidRPr="002669E0">
        <w:rPr>
          <w:bCs/>
          <w:szCs w:val="24"/>
        </w:rPr>
        <w:t>Švenčionys</w:t>
      </w:r>
    </w:p>
    <w:p w:rsidR="00A61621" w:rsidRPr="002669E0" w:rsidRDefault="00A61621" w:rsidP="00A61621">
      <w:pPr>
        <w:rPr>
          <w:szCs w:val="24"/>
        </w:rPr>
      </w:pPr>
    </w:p>
    <w:p w:rsidR="00CB524C" w:rsidRDefault="00CB524C" w:rsidP="00A61621">
      <w:pPr>
        <w:ind w:firstLine="720"/>
        <w:jc w:val="both"/>
        <w:rPr>
          <w:szCs w:val="24"/>
        </w:rPr>
      </w:pPr>
    </w:p>
    <w:p w:rsidR="00A61621" w:rsidRPr="002669E0" w:rsidRDefault="00A61621" w:rsidP="00A61621">
      <w:pPr>
        <w:ind w:firstLine="720"/>
        <w:jc w:val="both"/>
        <w:rPr>
          <w:szCs w:val="24"/>
        </w:rPr>
      </w:pPr>
      <w:r w:rsidRPr="002669E0">
        <w:rPr>
          <w:szCs w:val="24"/>
        </w:rPr>
        <w:t>Vadovaudamasi Lietuvos Respublikos vietos savivaldos įstatymo 29 straipsnio 8 dalies 2 punktu, įgyvendindama projektą „Paslaugų ir asmenų aptarnavimo kokybės gerinimas Švenčionių rajono savivaldybėje“ pagal 2014–2020 metų ES fondų investicijų veiksmų programos 10 prioriteto „Visuomenės poreikius atitinkantis ir pažangus viešasis valdymas“ Nr. 10.1.3-ESFA-R-920-01-0004 priemonę „Paslaugų ir asmenų aptarnavimo kokybės gerinimas savivaldybėse“:</w:t>
      </w:r>
    </w:p>
    <w:p w:rsidR="00A61621" w:rsidRPr="002669E0" w:rsidRDefault="00A61621" w:rsidP="00A61621">
      <w:pPr>
        <w:ind w:firstLine="720"/>
        <w:jc w:val="both"/>
        <w:rPr>
          <w:szCs w:val="24"/>
        </w:rPr>
      </w:pPr>
      <w:r w:rsidRPr="002669E0">
        <w:rPr>
          <w:szCs w:val="24"/>
        </w:rPr>
        <w:t xml:space="preserve">1. T v i r t i n u </w:t>
      </w:r>
      <w:bookmarkStart w:id="0" w:name="_Hlk33599720"/>
      <w:r w:rsidRPr="002669E0">
        <w:rPr>
          <w:szCs w:val="24"/>
        </w:rPr>
        <w:t xml:space="preserve">Kokybės vadybos sistemos rizikų </w:t>
      </w:r>
      <w:r w:rsidR="001F7E03">
        <w:rPr>
          <w:szCs w:val="24"/>
        </w:rPr>
        <w:t xml:space="preserve">ir galimybių </w:t>
      </w:r>
      <w:r w:rsidR="00F60D27">
        <w:rPr>
          <w:szCs w:val="24"/>
        </w:rPr>
        <w:t xml:space="preserve">analizės </w:t>
      </w:r>
      <w:r w:rsidRPr="002669E0">
        <w:rPr>
          <w:szCs w:val="24"/>
        </w:rPr>
        <w:t>metodikos įgyvendinimo Švenčionių rajono savivaldybės administracijoje tvarkos aprašą</w:t>
      </w:r>
      <w:bookmarkEnd w:id="0"/>
      <w:r w:rsidRPr="002669E0">
        <w:rPr>
          <w:szCs w:val="24"/>
        </w:rPr>
        <w:t xml:space="preserve"> (pridedama).</w:t>
      </w:r>
    </w:p>
    <w:p w:rsidR="00A61621" w:rsidRPr="002669E0" w:rsidRDefault="00A61621" w:rsidP="00A61621">
      <w:pPr>
        <w:ind w:firstLine="720"/>
        <w:jc w:val="both"/>
        <w:rPr>
          <w:szCs w:val="24"/>
        </w:rPr>
      </w:pPr>
      <w:r w:rsidRPr="002669E0">
        <w:rPr>
          <w:szCs w:val="24"/>
        </w:rPr>
        <w:t>2. Į p a r e i g o j u:</w:t>
      </w:r>
    </w:p>
    <w:p w:rsidR="00A61621" w:rsidRPr="002669E0" w:rsidRDefault="00A61621" w:rsidP="00985B6B">
      <w:pPr>
        <w:ind w:firstLine="720"/>
        <w:jc w:val="both"/>
        <w:rPr>
          <w:szCs w:val="24"/>
        </w:rPr>
      </w:pPr>
      <w:r w:rsidRPr="002669E0">
        <w:rPr>
          <w:szCs w:val="24"/>
        </w:rPr>
        <w:t>2.1. rajono savivaldybės administracijos skyrių vedėjus, seniūnijų seniūnus bendradarbiauti identifikuojant įstaigos rizikas</w:t>
      </w:r>
      <w:r w:rsidR="001F7E03">
        <w:rPr>
          <w:szCs w:val="24"/>
        </w:rPr>
        <w:t xml:space="preserve"> ir galimybes</w:t>
      </w:r>
      <w:r w:rsidRPr="002669E0">
        <w:rPr>
          <w:szCs w:val="24"/>
        </w:rPr>
        <w:t>, taip pat vykdyti nustatytas priemones rizikos mažinimui ar šalinimui ir galimybių įgyvendinimui;</w:t>
      </w:r>
    </w:p>
    <w:p w:rsidR="00A61621" w:rsidRPr="002669E0" w:rsidRDefault="00A61621" w:rsidP="00A61621">
      <w:pPr>
        <w:ind w:firstLine="720"/>
        <w:jc w:val="both"/>
        <w:rPr>
          <w:szCs w:val="24"/>
        </w:rPr>
      </w:pPr>
      <w:r w:rsidRPr="002669E0">
        <w:rPr>
          <w:szCs w:val="24"/>
        </w:rPr>
        <w:t>2.</w:t>
      </w:r>
      <w:r w:rsidR="00985B6B">
        <w:rPr>
          <w:szCs w:val="24"/>
        </w:rPr>
        <w:t>2</w:t>
      </w:r>
      <w:r w:rsidRPr="002669E0">
        <w:rPr>
          <w:szCs w:val="24"/>
        </w:rPr>
        <w:t xml:space="preserve">. rajono savivaldybės administracijos Bendrąjį skyrių su šiuo įsakymu supažindinti visus rajono savivaldybės administracijos </w:t>
      </w:r>
      <w:bookmarkStart w:id="1" w:name="_Hlk33601284"/>
      <w:r w:rsidRPr="002669E0">
        <w:rPr>
          <w:szCs w:val="24"/>
        </w:rPr>
        <w:t>darbuotojus,</w:t>
      </w:r>
      <w:bookmarkEnd w:id="1"/>
      <w:r w:rsidRPr="002669E0">
        <w:rPr>
          <w:szCs w:val="24"/>
        </w:rPr>
        <w:t xml:space="preserve">  seniūnijų  seniūnus – seniūnijų darbuotojus.</w:t>
      </w:r>
    </w:p>
    <w:p w:rsidR="00A61621" w:rsidRDefault="00A61621" w:rsidP="005D1600">
      <w:pPr>
        <w:ind w:firstLine="720"/>
        <w:jc w:val="both"/>
        <w:rPr>
          <w:szCs w:val="24"/>
        </w:rPr>
      </w:pPr>
      <w:r w:rsidRPr="002669E0">
        <w:rPr>
          <w:szCs w:val="24"/>
        </w:rPr>
        <w:t>3. </w:t>
      </w:r>
      <w:r w:rsidR="005D1600">
        <w:rPr>
          <w:szCs w:val="24"/>
        </w:rPr>
        <w:t xml:space="preserve">Šis įsakymas skelbiamas rajono interneto svetainėje </w:t>
      </w:r>
      <w:hyperlink r:id="rId9" w:history="1">
        <w:r w:rsidR="005D1600" w:rsidRPr="00FE11D0">
          <w:rPr>
            <w:rStyle w:val="Hipersaitas"/>
            <w:szCs w:val="24"/>
          </w:rPr>
          <w:t>www.svencionys.lt</w:t>
        </w:r>
      </w:hyperlink>
      <w:r w:rsidR="005D1600">
        <w:rPr>
          <w:szCs w:val="24"/>
        </w:rPr>
        <w:t>.</w:t>
      </w:r>
    </w:p>
    <w:p w:rsidR="005D1600" w:rsidRPr="002669E0" w:rsidRDefault="005D1600" w:rsidP="005D1600">
      <w:pPr>
        <w:ind w:firstLine="720"/>
        <w:jc w:val="both"/>
        <w:rPr>
          <w:szCs w:val="24"/>
        </w:rPr>
      </w:pPr>
    </w:p>
    <w:p w:rsidR="00A61621" w:rsidRPr="002669E0" w:rsidRDefault="00A61621" w:rsidP="00A61621">
      <w:pPr>
        <w:rPr>
          <w:szCs w:val="24"/>
        </w:rPr>
      </w:pPr>
    </w:p>
    <w:p w:rsidR="00A61621" w:rsidRPr="002669E0" w:rsidRDefault="00A61621" w:rsidP="00A61621">
      <w:pPr>
        <w:rPr>
          <w:szCs w:val="24"/>
        </w:rPr>
      </w:pPr>
      <w:r w:rsidRPr="002669E0">
        <w:rPr>
          <w:szCs w:val="24"/>
        </w:rPr>
        <w:t>Administracijos direktorė</w:t>
      </w:r>
      <w:r w:rsidRPr="002669E0">
        <w:rPr>
          <w:szCs w:val="24"/>
        </w:rPr>
        <w:tab/>
      </w:r>
      <w:r w:rsidRPr="002669E0">
        <w:rPr>
          <w:szCs w:val="24"/>
        </w:rPr>
        <w:tab/>
      </w:r>
      <w:r w:rsidRPr="002669E0">
        <w:rPr>
          <w:szCs w:val="24"/>
        </w:rPr>
        <w:tab/>
      </w:r>
      <w:r w:rsidRPr="002669E0">
        <w:rPr>
          <w:szCs w:val="24"/>
        </w:rPr>
        <w:tab/>
      </w:r>
      <w:r w:rsidRPr="002669E0">
        <w:rPr>
          <w:szCs w:val="24"/>
        </w:rPr>
        <w:tab/>
      </w:r>
      <w:r w:rsidR="0011757B">
        <w:rPr>
          <w:szCs w:val="24"/>
        </w:rPr>
        <w:t xml:space="preserve">  </w:t>
      </w:r>
      <w:r w:rsidRPr="002669E0">
        <w:rPr>
          <w:szCs w:val="24"/>
        </w:rPr>
        <w:t xml:space="preserve">Jovita </w:t>
      </w:r>
      <w:proofErr w:type="spellStart"/>
      <w:r w:rsidRPr="002669E0">
        <w:rPr>
          <w:szCs w:val="24"/>
        </w:rPr>
        <w:t>Rudėnienė</w:t>
      </w:r>
      <w:proofErr w:type="spellEnd"/>
    </w:p>
    <w:p w:rsidR="00B24857" w:rsidRDefault="00B24857" w:rsidP="00F60D27">
      <w:pPr>
        <w:jc w:val="both"/>
        <w:rPr>
          <w:lang w:val="en-US"/>
        </w:rPr>
      </w:pPr>
      <w:r>
        <w:rPr>
          <w:lang w:val="en-US"/>
        </w:rPr>
        <w:br w:type="page"/>
      </w:r>
    </w:p>
    <w:p w:rsidR="002D4899" w:rsidRPr="00B64653" w:rsidRDefault="002D4899" w:rsidP="002D4899">
      <w:pPr>
        <w:ind w:left="5041"/>
        <w:jc w:val="both"/>
        <w:rPr>
          <w:lang w:val="en-US"/>
        </w:rPr>
      </w:pPr>
      <w:r w:rsidRPr="00B64653">
        <w:rPr>
          <w:lang w:val="en-US"/>
        </w:rPr>
        <w:lastRenderedPageBreak/>
        <w:t>PATVIRTINTA</w:t>
      </w:r>
    </w:p>
    <w:p w:rsidR="00E20E76" w:rsidRDefault="002D4899" w:rsidP="002D4899">
      <w:pPr>
        <w:tabs>
          <w:tab w:val="left" w:pos="1304"/>
          <w:tab w:val="left" w:pos="1457"/>
          <w:tab w:val="left" w:pos="1604"/>
          <w:tab w:val="left" w:pos="1757"/>
        </w:tabs>
        <w:ind w:left="5041"/>
        <w:rPr>
          <w:color w:val="000000"/>
        </w:rPr>
      </w:pPr>
      <w:r w:rsidRPr="00B64653">
        <w:rPr>
          <w:color w:val="000000"/>
        </w:rPr>
        <w:t xml:space="preserve">Švenčionių rajono savivaldybės </w:t>
      </w:r>
    </w:p>
    <w:p w:rsidR="00E20E76" w:rsidRDefault="002D4899" w:rsidP="002D4899">
      <w:pPr>
        <w:tabs>
          <w:tab w:val="left" w:pos="1304"/>
          <w:tab w:val="left" w:pos="1457"/>
          <w:tab w:val="left" w:pos="1604"/>
          <w:tab w:val="left" w:pos="1757"/>
        </w:tabs>
        <w:ind w:left="5041"/>
        <w:rPr>
          <w:color w:val="000000"/>
        </w:rPr>
      </w:pPr>
      <w:r w:rsidRPr="00B64653">
        <w:rPr>
          <w:color w:val="000000"/>
        </w:rPr>
        <w:t xml:space="preserve">administracijos direktoriaus </w:t>
      </w:r>
    </w:p>
    <w:p w:rsidR="002D4899" w:rsidRPr="00B64653" w:rsidRDefault="002D4899" w:rsidP="002D4899">
      <w:pPr>
        <w:tabs>
          <w:tab w:val="left" w:pos="1304"/>
          <w:tab w:val="left" w:pos="1457"/>
          <w:tab w:val="left" w:pos="1604"/>
          <w:tab w:val="left" w:pos="1757"/>
        </w:tabs>
        <w:ind w:left="5041"/>
        <w:rPr>
          <w:color w:val="000000"/>
        </w:rPr>
      </w:pPr>
      <w:r w:rsidRPr="00B64653">
        <w:rPr>
          <w:color w:val="000000"/>
        </w:rPr>
        <w:t>2020 m</w:t>
      </w:r>
      <w:r w:rsidR="00BE1F37">
        <w:rPr>
          <w:color w:val="000000"/>
        </w:rPr>
        <w:t>.</w:t>
      </w:r>
      <w:r w:rsidR="00BE1F37" w:rsidRPr="00BE1F37">
        <w:rPr>
          <w:bCs/>
          <w:szCs w:val="24"/>
        </w:rPr>
        <w:t xml:space="preserve"> </w:t>
      </w:r>
      <w:r w:rsidR="00BE1F37">
        <w:rPr>
          <w:bCs/>
          <w:szCs w:val="24"/>
        </w:rPr>
        <w:t>birželio 26</w:t>
      </w:r>
      <w:r w:rsidRPr="00B64653">
        <w:rPr>
          <w:color w:val="000000"/>
        </w:rPr>
        <w:t xml:space="preserve"> d.</w:t>
      </w:r>
      <w:r w:rsidR="00E20E76">
        <w:rPr>
          <w:color w:val="000000"/>
        </w:rPr>
        <w:t xml:space="preserve"> </w:t>
      </w:r>
      <w:r w:rsidRPr="00B64653">
        <w:rPr>
          <w:color w:val="000000"/>
        </w:rPr>
        <w:t xml:space="preserve">įsakymu Nr. </w:t>
      </w:r>
      <w:r w:rsidR="00BE1F37">
        <w:rPr>
          <w:color w:val="000000"/>
        </w:rPr>
        <w:t>A-429</w:t>
      </w:r>
    </w:p>
    <w:p w:rsidR="002D4899" w:rsidRPr="00B64653" w:rsidRDefault="002D4899" w:rsidP="002D4899">
      <w:pPr>
        <w:tabs>
          <w:tab w:val="left" w:pos="709"/>
          <w:tab w:val="center" w:pos="4819"/>
          <w:tab w:val="right" w:pos="9638"/>
        </w:tabs>
        <w:suppressAutoHyphens/>
        <w:spacing w:line="360" w:lineRule="auto"/>
        <w:rPr>
          <w:b/>
          <w:bCs/>
          <w:szCs w:val="24"/>
          <w:lang w:eastAsia="lt-LT"/>
        </w:rPr>
      </w:pPr>
    </w:p>
    <w:p w:rsidR="002D4899" w:rsidRPr="008D3D13" w:rsidRDefault="008D3D13" w:rsidP="008D3D13">
      <w:pPr>
        <w:jc w:val="center"/>
        <w:rPr>
          <w:b/>
          <w:szCs w:val="24"/>
        </w:rPr>
      </w:pPr>
      <w:r w:rsidRPr="002669E0">
        <w:rPr>
          <w:b/>
          <w:szCs w:val="24"/>
        </w:rPr>
        <w:t xml:space="preserve">KOKYBĖS VADYBOS SISTEMOS RIZIKŲ </w:t>
      </w:r>
      <w:r w:rsidR="001F7E03">
        <w:rPr>
          <w:b/>
          <w:szCs w:val="24"/>
        </w:rPr>
        <w:t xml:space="preserve">IR GALIMYBIŲ </w:t>
      </w:r>
      <w:r>
        <w:rPr>
          <w:b/>
          <w:szCs w:val="24"/>
        </w:rPr>
        <w:t>ANALIZĖS</w:t>
      </w:r>
      <w:r w:rsidRPr="002669E0">
        <w:rPr>
          <w:b/>
          <w:szCs w:val="24"/>
        </w:rPr>
        <w:t xml:space="preserve"> METODIKOS ĮGYVENDINIMO ŠVENČIONIŲ RAJONO SAVIVALDYBĖS ADMINISTRACIJOJE TVARKOS APRAŠAS</w:t>
      </w:r>
    </w:p>
    <w:p w:rsidR="008D3D13" w:rsidRDefault="008D3D13" w:rsidP="008D3D13">
      <w:pPr>
        <w:jc w:val="center"/>
        <w:rPr>
          <w:b/>
          <w:bCs/>
          <w:lang w:eastAsia="lt-LT"/>
        </w:rPr>
      </w:pPr>
    </w:p>
    <w:p w:rsidR="008D3D13" w:rsidRDefault="008D3D13" w:rsidP="008D3D13">
      <w:pPr>
        <w:jc w:val="center"/>
        <w:rPr>
          <w:b/>
          <w:bCs/>
          <w:lang w:eastAsia="lt-LT"/>
        </w:rPr>
      </w:pPr>
    </w:p>
    <w:p w:rsidR="008D3D13" w:rsidRPr="00B64653" w:rsidRDefault="002D4899" w:rsidP="008D3D13">
      <w:pPr>
        <w:jc w:val="center"/>
        <w:rPr>
          <w:b/>
          <w:bCs/>
          <w:lang w:eastAsia="lt-LT"/>
        </w:rPr>
      </w:pPr>
      <w:r w:rsidRPr="00B64653">
        <w:rPr>
          <w:b/>
          <w:bCs/>
          <w:lang w:eastAsia="lt-LT"/>
        </w:rPr>
        <w:t>I SKYRIUS</w:t>
      </w:r>
    </w:p>
    <w:p w:rsidR="002D4899" w:rsidRPr="00B64653" w:rsidRDefault="002D4899" w:rsidP="002D4899">
      <w:pPr>
        <w:jc w:val="center"/>
        <w:rPr>
          <w:b/>
          <w:bCs/>
          <w:lang w:eastAsia="lt-LT"/>
        </w:rPr>
      </w:pPr>
      <w:r w:rsidRPr="00B64653">
        <w:rPr>
          <w:b/>
          <w:bCs/>
          <w:lang w:eastAsia="lt-LT"/>
        </w:rPr>
        <w:t>BENDROSIOS NUOSTATOS</w:t>
      </w:r>
    </w:p>
    <w:p w:rsidR="002D4899" w:rsidRPr="00B64653" w:rsidRDefault="002D4899" w:rsidP="002D4899">
      <w:pPr>
        <w:spacing w:line="360" w:lineRule="auto"/>
        <w:ind w:left="357"/>
        <w:jc w:val="center"/>
        <w:rPr>
          <w:lang w:eastAsia="lt-LT"/>
        </w:rPr>
      </w:pPr>
    </w:p>
    <w:p w:rsidR="00415DA9" w:rsidRPr="00863CE8" w:rsidRDefault="00415DA9" w:rsidP="00415DA9">
      <w:pPr>
        <w:pStyle w:val="NUMERACIJA"/>
        <w:numPr>
          <w:ilvl w:val="0"/>
          <w:numId w:val="8"/>
        </w:numPr>
        <w:ind w:left="0" w:firstLine="720"/>
      </w:pPr>
      <w:r w:rsidRPr="00415DA9">
        <w:t xml:space="preserve">Kokybės vadybos sistemos rizikų </w:t>
      </w:r>
      <w:r w:rsidR="001F7E03">
        <w:t xml:space="preserve">ir galimybių </w:t>
      </w:r>
      <w:r>
        <w:t>analizės</w:t>
      </w:r>
      <w:r w:rsidRPr="00415DA9">
        <w:t xml:space="preserve"> metodikos įgyvendinimo Švenčionių rajono savivaldybės administracijoje tvarkos aprašas (toliau – Tvarkos aprašas) parengtas pagal ISO 9001:2015 standarto reikalavimus. Tvarkos aprašas nustato procesą, kurio metu įstaiga identifikuoja ir įvertina sąlygas (įvykius), galinčius turėti įtaką veiklai, priima ir įgyvendina sprendimus dėl neigiamą įtaką darančių sąlygų sumažinimo iki priimtino lygio ir galimybių realizavimo, vykdo </w:t>
      </w:r>
      <w:r w:rsidRPr="00863CE8">
        <w:t>įgyvendinimo tvarką Švenčionių rajono savivaldybės administracijoje.</w:t>
      </w:r>
    </w:p>
    <w:p w:rsidR="00863CE8" w:rsidRPr="00863CE8" w:rsidRDefault="00415DA9" w:rsidP="00415DA9">
      <w:pPr>
        <w:pStyle w:val="Sraopastraipa"/>
        <w:numPr>
          <w:ilvl w:val="0"/>
          <w:numId w:val="8"/>
        </w:numPr>
        <w:ind w:left="0" w:firstLine="720"/>
        <w:jc w:val="both"/>
        <w:rPr>
          <w:rFonts w:ascii="Times New Roman" w:hAnsi="Times New Roman" w:cs="Times New Roman"/>
          <w:sz w:val="24"/>
          <w:szCs w:val="24"/>
          <w:lang w:eastAsia="lt-LT"/>
        </w:rPr>
      </w:pPr>
      <w:r w:rsidRPr="00863CE8">
        <w:rPr>
          <w:rFonts w:ascii="Times New Roman" w:hAnsi="Times New Roman" w:cs="Times New Roman"/>
          <w:sz w:val="24"/>
          <w:szCs w:val="24"/>
        </w:rPr>
        <w:t xml:space="preserve">Tvarkos aprašo tikslas – </w:t>
      </w:r>
      <w:r w:rsidR="007B1F67" w:rsidRPr="00863CE8">
        <w:rPr>
          <w:rFonts w:ascii="Times New Roman" w:hAnsi="Times New Roman" w:cs="Times New Roman"/>
          <w:sz w:val="24"/>
          <w:szCs w:val="24"/>
        </w:rPr>
        <w:t>nustatyti metodus, kuriais vadovaujantis</w:t>
      </w:r>
      <w:r w:rsidR="00BD3976" w:rsidRPr="00863CE8">
        <w:rPr>
          <w:rFonts w:ascii="Times New Roman" w:hAnsi="Times New Roman" w:cs="Times New Roman"/>
          <w:sz w:val="24"/>
          <w:szCs w:val="24"/>
        </w:rPr>
        <w:t>, būtų atliekamas rizikų</w:t>
      </w:r>
      <w:r w:rsidR="001F7E03">
        <w:rPr>
          <w:rFonts w:ascii="Times New Roman" w:hAnsi="Times New Roman" w:cs="Times New Roman"/>
          <w:sz w:val="24"/>
          <w:szCs w:val="24"/>
        </w:rPr>
        <w:t xml:space="preserve"> ir galimybių</w:t>
      </w:r>
      <w:r w:rsidR="00BD3976" w:rsidRPr="00863CE8">
        <w:rPr>
          <w:rFonts w:ascii="Times New Roman" w:hAnsi="Times New Roman" w:cs="Times New Roman"/>
          <w:sz w:val="24"/>
          <w:szCs w:val="24"/>
        </w:rPr>
        <w:t xml:space="preserve"> identifikavimas, vertinimas ir rizikų</w:t>
      </w:r>
      <w:r w:rsidR="001F7E03">
        <w:rPr>
          <w:rFonts w:ascii="Times New Roman" w:hAnsi="Times New Roman" w:cs="Times New Roman"/>
          <w:sz w:val="24"/>
          <w:szCs w:val="24"/>
        </w:rPr>
        <w:t xml:space="preserve"> bei galimybių</w:t>
      </w:r>
      <w:r w:rsidR="00BD3976" w:rsidRPr="00863CE8">
        <w:rPr>
          <w:rFonts w:ascii="Times New Roman" w:hAnsi="Times New Roman" w:cs="Times New Roman"/>
          <w:sz w:val="24"/>
          <w:szCs w:val="24"/>
        </w:rPr>
        <w:t xml:space="preserve"> </w:t>
      </w:r>
      <w:r w:rsidR="00310B5A" w:rsidRPr="00863CE8">
        <w:rPr>
          <w:rFonts w:ascii="Times New Roman" w:hAnsi="Times New Roman" w:cs="Times New Roman"/>
          <w:sz w:val="24"/>
          <w:szCs w:val="24"/>
        </w:rPr>
        <w:t>valdymo veiksmų planavimas</w:t>
      </w:r>
      <w:r w:rsidR="00863CE8" w:rsidRPr="00863CE8">
        <w:rPr>
          <w:rFonts w:ascii="Times New Roman" w:hAnsi="Times New Roman" w:cs="Times New Roman"/>
          <w:sz w:val="24"/>
          <w:szCs w:val="24"/>
        </w:rPr>
        <w:t>.</w:t>
      </w:r>
      <w:r w:rsidRPr="00863CE8">
        <w:rPr>
          <w:rFonts w:ascii="Times New Roman" w:hAnsi="Times New Roman" w:cs="Times New Roman"/>
          <w:sz w:val="24"/>
          <w:szCs w:val="24"/>
        </w:rPr>
        <w:t xml:space="preserve"> </w:t>
      </w:r>
    </w:p>
    <w:p w:rsidR="002D4899" w:rsidRPr="00863CE8" w:rsidRDefault="002D4899" w:rsidP="00415DA9">
      <w:pPr>
        <w:pStyle w:val="Sraopastraipa"/>
        <w:numPr>
          <w:ilvl w:val="0"/>
          <w:numId w:val="8"/>
        </w:numPr>
        <w:ind w:left="0" w:firstLine="720"/>
        <w:jc w:val="both"/>
        <w:rPr>
          <w:rFonts w:ascii="Times New Roman" w:hAnsi="Times New Roman" w:cs="Times New Roman"/>
          <w:sz w:val="24"/>
          <w:szCs w:val="24"/>
          <w:lang w:eastAsia="lt-LT"/>
        </w:rPr>
      </w:pPr>
      <w:r w:rsidRPr="00863CE8">
        <w:rPr>
          <w:rFonts w:ascii="Times New Roman" w:hAnsi="Times New Roman" w:cs="Times New Roman"/>
          <w:sz w:val="24"/>
          <w:szCs w:val="24"/>
          <w:lang w:eastAsia="lt-LT"/>
        </w:rPr>
        <w:t xml:space="preserve">Metodikoje vartojamos </w:t>
      </w:r>
      <w:r w:rsidR="006B5A7F" w:rsidRPr="00863CE8">
        <w:rPr>
          <w:rFonts w:ascii="Times New Roman" w:hAnsi="Times New Roman" w:cs="Times New Roman"/>
          <w:sz w:val="24"/>
          <w:szCs w:val="24"/>
          <w:lang w:eastAsia="lt-LT"/>
        </w:rPr>
        <w:t>santrumpos</w:t>
      </w:r>
      <w:r w:rsidRPr="00863CE8">
        <w:rPr>
          <w:rFonts w:ascii="Times New Roman" w:hAnsi="Times New Roman" w:cs="Times New Roman"/>
          <w:sz w:val="24"/>
          <w:szCs w:val="24"/>
          <w:lang w:eastAsia="lt-LT"/>
        </w:rPr>
        <w:t>:</w:t>
      </w:r>
    </w:p>
    <w:p w:rsidR="006B5A7F" w:rsidRPr="00863CE8" w:rsidRDefault="006B5A7F" w:rsidP="00415DA9">
      <w:pPr>
        <w:pStyle w:val="Sraopastraipa"/>
        <w:numPr>
          <w:ilvl w:val="1"/>
          <w:numId w:val="8"/>
        </w:numPr>
        <w:ind w:left="0" w:firstLine="720"/>
        <w:jc w:val="both"/>
        <w:rPr>
          <w:rFonts w:ascii="Times New Roman" w:hAnsi="Times New Roman" w:cs="Times New Roman"/>
          <w:sz w:val="24"/>
          <w:szCs w:val="24"/>
          <w:lang w:eastAsia="lt-LT"/>
        </w:rPr>
      </w:pPr>
      <w:r w:rsidRPr="00863CE8">
        <w:rPr>
          <w:rFonts w:ascii="Times New Roman" w:hAnsi="Times New Roman" w:cs="Times New Roman"/>
          <w:b/>
          <w:bCs/>
          <w:sz w:val="24"/>
          <w:szCs w:val="24"/>
          <w:lang w:eastAsia="lt-LT"/>
        </w:rPr>
        <w:t xml:space="preserve">Darbo grupė </w:t>
      </w:r>
      <w:r w:rsidRPr="00863CE8">
        <w:rPr>
          <w:rFonts w:ascii="Times New Roman" w:hAnsi="Times New Roman" w:cs="Times New Roman"/>
          <w:sz w:val="24"/>
          <w:szCs w:val="24"/>
          <w:lang w:eastAsia="lt-LT"/>
        </w:rPr>
        <w:t>–</w:t>
      </w:r>
      <w:r w:rsidR="00A53972" w:rsidRPr="00863CE8">
        <w:rPr>
          <w:rFonts w:ascii="Times New Roman" w:hAnsi="Times New Roman" w:cs="Times New Roman"/>
          <w:sz w:val="24"/>
          <w:szCs w:val="24"/>
          <w:lang w:eastAsia="lt-LT"/>
        </w:rPr>
        <w:t xml:space="preserve"> Administracijos direktoriaus </w:t>
      </w:r>
      <w:r w:rsidR="00EB3482" w:rsidRPr="00863CE8">
        <w:rPr>
          <w:rFonts w:ascii="Times New Roman" w:hAnsi="Times New Roman" w:cs="Times New Roman"/>
          <w:sz w:val="24"/>
          <w:szCs w:val="24"/>
          <w:lang w:eastAsia="lt-LT"/>
        </w:rPr>
        <w:t>ir/arba jo pavaduotojo įsakymu paskirta</w:t>
      </w:r>
      <w:r w:rsidRPr="00863CE8">
        <w:rPr>
          <w:rFonts w:ascii="Times New Roman" w:hAnsi="Times New Roman" w:cs="Times New Roman"/>
          <w:sz w:val="24"/>
          <w:szCs w:val="24"/>
          <w:lang w:eastAsia="lt-LT"/>
        </w:rPr>
        <w:t xml:space="preserve"> rizikų vertinimo darbo grupė;</w:t>
      </w:r>
    </w:p>
    <w:p w:rsidR="006B5A7F" w:rsidRPr="00863CE8" w:rsidRDefault="006B5A7F" w:rsidP="00415DA9">
      <w:pPr>
        <w:pStyle w:val="Sraopastraipa"/>
        <w:numPr>
          <w:ilvl w:val="1"/>
          <w:numId w:val="8"/>
        </w:numPr>
        <w:ind w:left="0" w:firstLine="720"/>
        <w:jc w:val="both"/>
        <w:rPr>
          <w:rFonts w:ascii="Times New Roman" w:hAnsi="Times New Roman" w:cs="Times New Roman"/>
          <w:sz w:val="24"/>
          <w:szCs w:val="24"/>
          <w:lang w:eastAsia="lt-LT"/>
        </w:rPr>
      </w:pPr>
      <w:r w:rsidRPr="00863CE8">
        <w:rPr>
          <w:rFonts w:ascii="Times New Roman" w:hAnsi="Times New Roman" w:cs="Times New Roman"/>
          <w:b/>
          <w:bCs/>
          <w:sz w:val="24"/>
          <w:szCs w:val="24"/>
          <w:lang w:eastAsia="lt-LT"/>
        </w:rPr>
        <w:t xml:space="preserve">Administracija </w:t>
      </w:r>
      <w:r w:rsidR="00647C9E" w:rsidRPr="00863CE8">
        <w:rPr>
          <w:rFonts w:ascii="Times New Roman" w:hAnsi="Times New Roman" w:cs="Times New Roman"/>
          <w:b/>
          <w:bCs/>
          <w:sz w:val="24"/>
          <w:szCs w:val="24"/>
          <w:lang w:eastAsia="lt-LT"/>
        </w:rPr>
        <w:t>–</w:t>
      </w:r>
      <w:r w:rsidRPr="00863CE8">
        <w:rPr>
          <w:rFonts w:ascii="Times New Roman" w:hAnsi="Times New Roman" w:cs="Times New Roman"/>
          <w:b/>
          <w:bCs/>
          <w:sz w:val="24"/>
          <w:szCs w:val="24"/>
          <w:lang w:eastAsia="lt-LT"/>
        </w:rPr>
        <w:t xml:space="preserve"> </w:t>
      </w:r>
      <w:r w:rsidR="00647C9E" w:rsidRPr="00863CE8">
        <w:rPr>
          <w:rFonts w:ascii="Times New Roman" w:hAnsi="Times New Roman" w:cs="Times New Roman"/>
          <w:sz w:val="24"/>
          <w:szCs w:val="24"/>
          <w:lang w:eastAsia="lt-LT"/>
        </w:rPr>
        <w:t>Švenčionių rajono savivaldybės administracija;</w:t>
      </w:r>
    </w:p>
    <w:p w:rsidR="00753253" w:rsidRDefault="00753253" w:rsidP="00415DA9">
      <w:pPr>
        <w:pStyle w:val="Sraopastraipa"/>
        <w:numPr>
          <w:ilvl w:val="1"/>
          <w:numId w:val="8"/>
        </w:numPr>
        <w:ind w:left="0" w:firstLine="720"/>
        <w:jc w:val="both"/>
        <w:rPr>
          <w:rFonts w:ascii="Times New Roman" w:hAnsi="Times New Roman" w:cs="Times New Roman"/>
          <w:sz w:val="24"/>
          <w:szCs w:val="24"/>
          <w:lang w:eastAsia="lt-LT"/>
        </w:rPr>
      </w:pPr>
      <w:r w:rsidRPr="00863CE8">
        <w:rPr>
          <w:rFonts w:ascii="Times New Roman" w:hAnsi="Times New Roman" w:cs="Times New Roman"/>
          <w:b/>
          <w:bCs/>
          <w:sz w:val="24"/>
          <w:szCs w:val="24"/>
          <w:lang w:eastAsia="lt-LT"/>
        </w:rPr>
        <w:t>Administracijos vadovybė –</w:t>
      </w:r>
      <w:r w:rsidRPr="00863CE8">
        <w:rPr>
          <w:rFonts w:ascii="Times New Roman" w:hAnsi="Times New Roman" w:cs="Times New Roman"/>
          <w:sz w:val="24"/>
          <w:szCs w:val="24"/>
          <w:lang w:eastAsia="lt-LT"/>
        </w:rPr>
        <w:t xml:space="preserve"> Švenčionių rajono savivaldybės administracijos direktorius ir jo pavaduotojas;</w:t>
      </w:r>
    </w:p>
    <w:p w:rsidR="00604077" w:rsidRPr="00863CE8" w:rsidRDefault="00604077" w:rsidP="00415DA9">
      <w:pPr>
        <w:pStyle w:val="Sraopastraipa"/>
        <w:numPr>
          <w:ilvl w:val="1"/>
          <w:numId w:val="8"/>
        </w:numPr>
        <w:ind w:left="0" w:firstLine="720"/>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Galimybė </w:t>
      </w:r>
      <w:r w:rsidRPr="00863CE8">
        <w:rPr>
          <w:rFonts w:ascii="Times New Roman" w:hAnsi="Times New Roman" w:cs="Times New Roman"/>
          <w:b/>
          <w:bCs/>
          <w:sz w:val="24"/>
          <w:szCs w:val="24"/>
          <w:lang w:eastAsia="lt-LT"/>
        </w:rPr>
        <w:t>–</w:t>
      </w:r>
      <w:r>
        <w:rPr>
          <w:rFonts w:ascii="Times New Roman" w:hAnsi="Times New Roman" w:cs="Times New Roman"/>
          <w:b/>
          <w:bCs/>
          <w:sz w:val="24"/>
          <w:szCs w:val="24"/>
          <w:lang w:eastAsia="lt-LT"/>
        </w:rPr>
        <w:t xml:space="preserve"> </w:t>
      </w:r>
      <w:r w:rsidRPr="00375CCF">
        <w:rPr>
          <w:rFonts w:ascii="Times New Roman" w:hAnsi="Times New Roman" w:cs="Times New Roman"/>
          <w:sz w:val="24"/>
          <w:szCs w:val="24"/>
          <w:lang w:eastAsia="lt-LT"/>
        </w:rPr>
        <w:t xml:space="preserve">tikimybė, kad įvykis </w:t>
      </w:r>
      <w:r w:rsidR="00375CCF" w:rsidRPr="00375CCF">
        <w:rPr>
          <w:rFonts w:ascii="Times New Roman" w:hAnsi="Times New Roman" w:cs="Times New Roman"/>
          <w:sz w:val="24"/>
          <w:szCs w:val="24"/>
          <w:lang w:eastAsia="lt-LT"/>
        </w:rPr>
        <w:t>gali pagerinti Administracijos</w:t>
      </w:r>
      <w:r w:rsidR="00375CCF">
        <w:rPr>
          <w:rFonts w:ascii="Times New Roman" w:hAnsi="Times New Roman" w:cs="Times New Roman"/>
          <w:b/>
          <w:bCs/>
          <w:sz w:val="24"/>
          <w:szCs w:val="24"/>
          <w:lang w:eastAsia="lt-LT"/>
        </w:rPr>
        <w:t xml:space="preserve"> </w:t>
      </w:r>
      <w:r w:rsidR="00375CCF">
        <w:rPr>
          <w:rFonts w:ascii="Times New Roman" w:hAnsi="Times New Roman" w:cs="Times New Roman"/>
          <w:sz w:val="24"/>
          <w:szCs w:val="24"/>
          <w:lang w:eastAsia="lt-LT"/>
        </w:rPr>
        <w:t xml:space="preserve">galimybes pasiekti </w:t>
      </w:r>
      <w:r w:rsidR="00375CCF" w:rsidRPr="00604077">
        <w:rPr>
          <w:rFonts w:ascii="Times New Roman" w:hAnsi="Times New Roman" w:cs="Times New Roman"/>
          <w:sz w:val="24"/>
          <w:szCs w:val="24"/>
          <w:lang w:eastAsia="lt-LT"/>
        </w:rPr>
        <w:t xml:space="preserve"> tiksl</w:t>
      </w:r>
      <w:r w:rsidR="00375CCF">
        <w:rPr>
          <w:rFonts w:ascii="Times New Roman" w:hAnsi="Times New Roman" w:cs="Times New Roman"/>
          <w:sz w:val="24"/>
          <w:szCs w:val="24"/>
          <w:lang w:eastAsia="lt-LT"/>
        </w:rPr>
        <w:t>us. Šioje metodikoje įvardinama, kaip rizika ir vykdomi tokie patys identifikavimo, vertinimo veiksmai kaip rizikos atveju.</w:t>
      </w:r>
    </w:p>
    <w:p w:rsidR="00647C9E" w:rsidRDefault="00E01803" w:rsidP="00415DA9">
      <w:pPr>
        <w:pStyle w:val="Sraopastraipa"/>
        <w:numPr>
          <w:ilvl w:val="1"/>
          <w:numId w:val="8"/>
        </w:numPr>
        <w:ind w:left="0" w:firstLine="720"/>
        <w:jc w:val="both"/>
        <w:rPr>
          <w:rFonts w:ascii="Times New Roman" w:hAnsi="Times New Roman" w:cs="Times New Roman"/>
          <w:sz w:val="24"/>
          <w:szCs w:val="24"/>
          <w:lang w:eastAsia="lt-LT"/>
        </w:rPr>
      </w:pPr>
      <w:r w:rsidRPr="00863CE8">
        <w:rPr>
          <w:rFonts w:ascii="Times New Roman" w:hAnsi="Times New Roman" w:cs="Times New Roman"/>
          <w:b/>
          <w:bCs/>
          <w:sz w:val="24"/>
          <w:szCs w:val="24"/>
          <w:lang w:eastAsia="lt-LT"/>
        </w:rPr>
        <w:t xml:space="preserve">Metodika – </w:t>
      </w:r>
      <w:r w:rsidR="00A748A0" w:rsidRPr="00863CE8">
        <w:rPr>
          <w:rFonts w:ascii="Times New Roman" w:hAnsi="Times New Roman" w:cs="Times New Roman"/>
          <w:sz w:val="24"/>
          <w:szCs w:val="24"/>
          <w:lang w:eastAsia="lt-LT"/>
        </w:rPr>
        <w:t>Švenčionių rajono savivaldybės administracijos riz</w:t>
      </w:r>
      <w:r w:rsidR="00884D32" w:rsidRPr="00863CE8">
        <w:rPr>
          <w:rFonts w:ascii="Times New Roman" w:hAnsi="Times New Roman" w:cs="Times New Roman"/>
          <w:sz w:val="24"/>
          <w:szCs w:val="24"/>
          <w:lang w:eastAsia="lt-LT"/>
        </w:rPr>
        <w:t>ikų analizės metodika</w:t>
      </w:r>
      <w:r w:rsidR="001F7E03">
        <w:rPr>
          <w:rFonts w:ascii="Times New Roman" w:hAnsi="Times New Roman" w:cs="Times New Roman"/>
          <w:sz w:val="24"/>
          <w:szCs w:val="24"/>
          <w:lang w:eastAsia="lt-LT"/>
        </w:rPr>
        <w:t>;</w:t>
      </w:r>
    </w:p>
    <w:p w:rsidR="001F7E03" w:rsidRDefault="001F7E03" w:rsidP="00415DA9">
      <w:pPr>
        <w:pStyle w:val="Sraopastraipa"/>
        <w:numPr>
          <w:ilvl w:val="1"/>
          <w:numId w:val="8"/>
        </w:numPr>
        <w:ind w:left="0" w:firstLine="720"/>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Padalinys </w:t>
      </w:r>
      <w:r w:rsidRPr="00863CE8">
        <w:rPr>
          <w:rFonts w:ascii="Times New Roman" w:hAnsi="Times New Roman" w:cs="Times New Roman"/>
          <w:b/>
          <w:bCs/>
          <w:sz w:val="24"/>
          <w:szCs w:val="24"/>
          <w:lang w:eastAsia="lt-LT"/>
        </w:rPr>
        <w:t xml:space="preserve">– </w:t>
      </w:r>
      <w:r>
        <w:rPr>
          <w:rFonts w:ascii="Times New Roman" w:hAnsi="Times New Roman" w:cs="Times New Roman"/>
          <w:b/>
          <w:bCs/>
          <w:sz w:val="24"/>
          <w:szCs w:val="24"/>
          <w:lang w:eastAsia="lt-LT"/>
        </w:rPr>
        <w:t xml:space="preserve"> </w:t>
      </w:r>
      <w:r>
        <w:rPr>
          <w:rFonts w:ascii="Times New Roman" w:hAnsi="Times New Roman" w:cs="Times New Roman"/>
          <w:sz w:val="24"/>
          <w:szCs w:val="24"/>
          <w:lang w:eastAsia="lt-LT"/>
        </w:rPr>
        <w:t xml:space="preserve"> </w:t>
      </w:r>
      <w:r w:rsidRPr="00863CE8">
        <w:rPr>
          <w:rFonts w:ascii="Times New Roman" w:hAnsi="Times New Roman" w:cs="Times New Roman"/>
          <w:sz w:val="24"/>
          <w:szCs w:val="24"/>
          <w:lang w:eastAsia="lt-LT"/>
        </w:rPr>
        <w:t>Švenčionių rajono savivaldybės</w:t>
      </w:r>
      <w:r>
        <w:rPr>
          <w:rFonts w:ascii="Times New Roman" w:hAnsi="Times New Roman" w:cs="Times New Roman"/>
          <w:sz w:val="24"/>
          <w:szCs w:val="24"/>
          <w:lang w:eastAsia="lt-LT"/>
        </w:rPr>
        <w:t xml:space="preserve"> administracijos skyrius, seniūnija;</w:t>
      </w:r>
    </w:p>
    <w:p w:rsidR="00604077" w:rsidRPr="00604077" w:rsidRDefault="00604077" w:rsidP="00604077">
      <w:pPr>
        <w:pStyle w:val="Sraopastraipa"/>
        <w:numPr>
          <w:ilvl w:val="1"/>
          <w:numId w:val="8"/>
        </w:numPr>
        <w:ind w:left="0" w:firstLine="720"/>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P</w:t>
      </w:r>
      <w:r w:rsidRPr="00604077">
        <w:rPr>
          <w:rFonts w:ascii="Times New Roman" w:hAnsi="Times New Roman" w:cs="Times New Roman"/>
          <w:b/>
          <w:bCs/>
          <w:sz w:val="24"/>
          <w:szCs w:val="24"/>
          <w:lang w:eastAsia="lt-LT"/>
        </w:rPr>
        <w:t xml:space="preserve">oveikis – </w:t>
      </w:r>
      <w:r w:rsidRPr="00604077">
        <w:rPr>
          <w:rFonts w:ascii="Times New Roman" w:hAnsi="Times New Roman" w:cs="Times New Roman"/>
          <w:sz w:val="24"/>
          <w:szCs w:val="24"/>
          <w:lang w:eastAsia="lt-LT"/>
        </w:rPr>
        <w:t xml:space="preserve">įvykio rezultatas. Su konkrečiu įvykiu gali būti siejami keli poveikio atvejai, kurių teigiamas arba neigiamas vertinimas priklauso nuo </w:t>
      </w:r>
      <w:r>
        <w:rPr>
          <w:rFonts w:ascii="Times New Roman" w:hAnsi="Times New Roman" w:cs="Times New Roman"/>
          <w:sz w:val="24"/>
          <w:szCs w:val="24"/>
          <w:lang w:eastAsia="lt-LT"/>
        </w:rPr>
        <w:t>Administracijos</w:t>
      </w:r>
      <w:r w:rsidRPr="00604077">
        <w:rPr>
          <w:rFonts w:ascii="Times New Roman" w:hAnsi="Times New Roman" w:cs="Times New Roman"/>
          <w:sz w:val="24"/>
          <w:szCs w:val="24"/>
          <w:lang w:eastAsia="lt-LT"/>
        </w:rPr>
        <w:t xml:space="preserve"> tikslų;</w:t>
      </w:r>
    </w:p>
    <w:p w:rsidR="001F7E03" w:rsidRDefault="001F7E03" w:rsidP="00415DA9">
      <w:pPr>
        <w:pStyle w:val="Sraopastraipa"/>
        <w:numPr>
          <w:ilvl w:val="1"/>
          <w:numId w:val="8"/>
        </w:numPr>
        <w:ind w:left="0" w:firstLine="720"/>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 xml:space="preserve">Rizika </w:t>
      </w:r>
      <w:r w:rsidR="00604077" w:rsidRPr="00863CE8">
        <w:rPr>
          <w:rFonts w:ascii="Times New Roman" w:hAnsi="Times New Roman" w:cs="Times New Roman"/>
          <w:b/>
          <w:bCs/>
          <w:sz w:val="24"/>
          <w:szCs w:val="24"/>
          <w:lang w:eastAsia="lt-LT"/>
        </w:rPr>
        <w:t xml:space="preserve">– </w:t>
      </w:r>
      <w:r w:rsidR="00604077">
        <w:rPr>
          <w:rFonts w:ascii="Times New Roman" w:hAnsi="Times New Roman" w:cs="Times New Roman"/>
          <w:b/>
          <w:bCs/>
          <w:sz w:val="24"/>
          <w:szCs w:val="24"/>
          <w:lang w:eastAsia="lt-LT"/>
        </w:rPr>
        <w:t xml:space="preserve"> </w:t>
      </w:r>
      <w:r w:rsidR="00604077" w:rsidRPr="00604077">
        <w:rPr>
          <w:rFonts w:ascii="Times New Roman" w:hAnsi="Times New Roman" w:cs="Times New Roman"/>
          <w:sz w:val="24"/>
          <w:szCs w:val="24"/>
          <w:lang w:eastAsia="lt-LT"/>
        </w:rPr>
        <w:t xml:space="preserve">tikimybė, kad įvykis neigiamai paveiks </w:t>
      </w:r>
      <w:r w:rsidR="00604077">
        <w:rPr>
          <w:rFonts w:ascii="Times New Roman" w:hAnsi="Times New Roman" w:cs="Times New Roman"/>
          <w:sz w:val="24"/>
          <w:szCs w:val="24"/>
          <w:lang w:eastAsia="lt-LT"/>
        </w:rPr>
        <w:t xml:space="preserve">Administracijos galimybes pasiekti </w:t>
      </w:r>
      <w:r w:rsidR="00604077" w:rsidRPr="00604077">
        <w:rPr>
          <w:rFonts w:ascii="Times New Roman" w:hAnsi="Times New Roman" w:cs="Times New Roman"/>
          <w:sz w:val="24"/>
          <w:szCs w:val="24"/>
          <w:lang w:eastAsia="lt-LT"/>
        </w:rPr>
        <w:t xml:space="preserve"> tiksl</w:t>
      </w:r>
      <w:r w:rsidR="00604077">
        <w:rPr>
          <w:rFonts w:ascii="Times New Roman" w:hAnsi="Times New Roman" w:cs="Times New Roman"/>
          <w:sz w:val="24"/>
          <w:szCs w:val="24"/>
          <w:lang w:eastAsia="lt-LT"/>
        </w:rPr>
        <w:t>us</w:t>
      </w:r>
      <w:r w:rsidR="00375CCF">
        <w:rPr>
          <w:rFonts w:ascii="Times New Roman" w:hAnsi="Times New Roman" w:cs="Times New Roman"/>
          <w:sz w:val="24"/>
          <w:szCs w:val="24"/>
          <w:lang w:eastAsia="lt-LT"/>
        </w:rPr>
        <w:t>;</w:t>
      </w:r>
      <w:r w:rsidR="00604077">
        <w:rPr>
          <w:rFonts w:ascii="Times New Roman" w:hAnsi="Times New Roman" w:cs="Times New Roman"/>
          <w:sz w:val="24"/>
          <w:szCs w:val="24"/>
          <w:lang w:eastAsia="lt-LT"/>
        </w:rPr>
        <w:t xml:space="preserve"> </w:t>
      </w:r>
    </w:p>
    <w:p w:rsidR="00604077" w:rsidRPr="00863CE8" w:rsidRDefault="00604077" w:rsidP="00415DA9">
      <w:pPr>
        <w:pStyle w:val="Sraopastraipa"/>
        <w:numPr>
          <w:ilvl w:val="1"/>
          <w:numId w:val="8"/>
        </w:numPr>
        <w:ind w:left="0" w:firstLine="720"/>
        <w:jc w:val="both"/>
        <w:rPr>
          <w:rFonts w:ascii="Times New Roman" w:hAnsi="Times New Roman" w:cs="Times New Roman"/>
          <w:sz w:val="24"/>
          <w:szCs w:val="24"/>
          <w:lang w:eastAsia="lt-LT"/>
        </w:rPr>
      </w:pPr>
      <w:r>
        <w:rPr>
          <w:rFonts w:ascii="Times New Roman" w:hAnsi="Times New Roman" w:cs="Times New Roman"/>
          <w:b/>
          <w:bCs/>
          <w:sz w:val="24"/>
          <w:szCs w:val="24"/>
          <w:lang w:eastAsia="lt-LT"/>
        </w:rPr>
        <w:t>T</w:t>
      </w:r>
      <w:r w:rsidRPr="00604077">
        <w:rPr>
          <w:rFonts w:ascii="Times New Roman" w:hAnsi="Times New Roman" w:cs="Times New Roman"/>
          <w:b/>
          <w:bCs/>
          <w:sz w:val="24"/>
          <w:szCs w:val="24"/>
          <w:lang w:eastAsia="lt-LT"/>
        </w:rPr>
        <w:t xml:space="preserve">ikimybė </w:t>
      </w:r>
      <w:r w:rsidRPr="00604077">
        <w:rPr>
          <w:rFonts w:ascii="Times New Roman" w:hAnsi="Times New Roman" w:cs="Times New Roman"/>
          <w:sz w:val="24"/>
          <w:szCs w:val="24"/>
          <w:lang w:eastAsia="lt-LT"/>
        </w:rPr>
        <w:t>– teorinė galimybė, kad konkretus įvykis įvyks</w:t>
      </w:r>
      <w:r>
        <w:rPr>
          <w:rFonts w:ascii="Times New Roman" w:hAnsi="Times New Roman" w:cs="Times New Roman"/>
          <w:sz w:val="24"/>
          <w:szCs w:val="24"/>
          <w:lang w:eastAsia="lt-LT"/>
        </w:rPr>
        <w:t>.</w:t>
      </w:r>
    </w:p>
    <w:p w:rsidR="00863CE8" w:rsidRDefault="00863CE8" w:rsidP="009E71C9">
      <w:pPr>
        <w:pStyle w:val="Sraopastraipa"/>
        <w:ind w:left="709"/>
        <w:jc w:val="center"/>
        <w:rPr>
          <w:rFonts w:ascii="Times New Roman" w:hAnsi="Times New Roman" w:cs="Times New Roman"/>
          <w:b/>
          <w:bCs/>
          <w:sz w:val="24"/>
          <w:szCs w:val="24"/>
          <w:lang w:eastAsia="lt-LT"/>
        </w:rPr>
      </w:pPr>
    </w:p>
    <w:p w:rsidR="00A46922" w:rsidRPr="009E71C9" w:rsidRDefault="00A46922" w:rsidP="009E71C9">
      <w:pPr>
        <w:pStyle w:val="Sraopastraipa"/>
        <w:ind w:left="709"/>
        <w:jc w:val="center"/>
        <w:rPr>
          <w:rFonts w:ascii="Times New Roman" w:hAnsi="Times New Roman" w:cs="Times New Roman"/>
          <w:b/>
          <w:bCs/>
          <w:sz w:val="24"/>
          <w:szCs w:val="24"/>
          <w:lang w:eastAsia="lt-LT"/>
        </w:rPr>
      </w:pPr>
      <w:r w:rsidRPr="009E71C9">
        <w:rPr>
          <w:rFonts w:ascii="Times New Roman" w:hAnsi="Times New Roman" w:cs="Times New Roman"/>
          <w:b/>
          <w:bCs/>
          <w:sz w:val="24"/>
          <w:szCs w:val="24"/>
          <w:lang w:eastAsia="lt-LT"/>
        </w:rPr>
        <w:t>II SKYRIUS</w:t>
      </w:r>
    </w:p>
    <w:p w:rsidR="00A46922" w:rsidRPr="009E71C9" w:rsidRDefault="00A46922" w:rsidP="009E71C9">
      <w:pPr>
        <w:pStyle w:val="Sraopastraipa"/>
        <w:ind w:left="709"/>
        <w:jc w:val="center"/>
        <w:rPr>
          <w:rFonts w:ascii="Times New Roman" w:hAnsi="Times New Roman" w:cs="Times New Roman"/>
          <w:b/>
          <w:bCs/>
          <w:sz w:val="24"/>
          <w:szCs w:val="24"/>
          <w:lang w:eastAsia="lt-LT"/>
        </w:rPr>
      </w:pPr>
      <w:r w:rsidRPr="009E71C9">
        <w:rPr>
          <w:rFonts w:ascii="Times New Roman" w:hAnsi="Times New Roman" w:cs="Times New Roman"/>
          <w:b/>
          <w:bCs/>
          <w:sz w:val="24"/>
          <w:szCs w:val="24"/>
          <w:lang w:eastAsia="lt-LT"/>
        </w:rPr>
        <w:t>RIZIK</w:t>
      </w:r>
      <w:r w:rsidR="008677CC">
        <w:rPr>
          <w:rFonts w:ascii="Times New Roman" w:hAnsi="Times New Roman" w:cs="Times New Roman"/>
          <w:b/>
          <w:bCs/>
          <w:sz w:val="24"/>
          <w:szCs w:val="24"/>
          <w:lang w:eastAsia="lt-LT"/>
        </w:rPr>
        <w:t>Ų</w:t>
      </w:r>
      <w:r w:rsidRPr="009E71C9">
        <w:rPr>
          <w:rFonts w:ascii="Times New Roman" w:hAnsi="Times New Roman" w:cs="Times New Roman"/>
          <w:b/>
          <w:bCs/>
          <w:sz w:val="24"/>
          <w:szCs w:val="24"/>
          <w:lang w:eastAsia="lt-LT"/>
        </w:rPr>
        <w:t xml:space="preserve"> VERTINIME DALYVAUJANTYS SUBJEKTAI</w:t>
      </w:r>
      <w:r w:rsidR="005B2D29">
        <w:rPr>
          <w:rFonts w:ascii="Times New Roman" w:hAnsi="Times New Roman" w:cs="Times New Roman"/>
          <w:b/>
          <w:bCs/>
          <w:sz w:val="24"/>
          <w:szCs w:val="24"/>
          <w:lang w:eastAsia="lt-LT"/>
        </w:rPr>
        <w:t xml:space="preserve"> IR JŲ FUNKCIJOS</w:t>
      </w:r>
    </w:p>
    <w:p w:rsidR="00A46922" w:rsidRPr="00A46922" w:rsidRDefault="00A46922" w:rsidP="002F659B">
      <w:pPr>
        <w:ind w:firstLine="709"/>
        <w:jc w:val="center"/>
        <w:rPr>
          <w:b/>
          <w:bCs/>
          <w:lang w:eastAsia="lt-LT"/>
        </w:rPr>
      </w:pPr>
    </w:p>
    <w:p w:rsidR="009E71C9" w:rsidRDefault="00A46922" w:rsidP="009E71C9">
      <w:pPr>
        <w:pStyle w:val="Sraopastraipa"/>
        <w:numPr>
          <w:ilvl w:val="0"/>
          <w:numId w:val="8"/>
        </w:numPr>
        <w:ind w:left="0"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Rizikos </w:t>
      </w:r>
      <w:r w:rsidR="004068CF">
        <w:rPr>
          <w:rFonts w:ascii="Times New Roman" w:hAnsi="Times New Roman" w:cs="Times New Roman"/>
          <w:sz w:val="24"/>
          <w:szCs w:val="24"/>
          <w:lang w:eastAsia="lt-LT"/>
        </w:rPr>
        <w:t>analizėje</w:t>
      </w:r>
      <w:r>
        <w:rPr>
          <w:rFonts w:ascii="Times New Roman" w:hAnsi="Times New Roman" w:cs="Times New Roman"/>
          <w:sz w:val="24"/>
          <w:szCs w:val="24"/>
          <w:lang w:eastAsia="lt-LT"/>
        </w:rPr>
        <w:t xml:space="preserve"> dalyvauja</w:t>
      </w:r>
      <w:r w:rsidR="004068CF">
        <w:rPr>
          <w:rFonts w:ascii="Times New Roman" w:hAnsi="Times New Roman" w:cs="Times New Roman"/>
          <w:sz w:val="24"/>
          <w:szCs w:val="24"/>
          <w:lang w:eastAsia="lt-LT"/>
        </w:rPr>
        <w:t>ntys subjektai</w:t>
      </w:r>
      <w:r w:rsidR="009E71C9">
        <w:rPr>
          <w:rFonts w:ascii="Times New Roman" w:hAnsi="Times New Roman" w:cs="Times New Roman"/>
          <w:sz w:val="24"/>
          <w:szCs w:val="24"/>
          <w:lang w:eastAsia="lt-LT"/>
        </w:rPr>
        <w:t>:</w:t>
      </w:r>
    </w:p>
    <w:p w:rsidR="004242A5" w:rsidRDefault="00D765AD" w:rsidP="00241161">
      <w:pPr>
        <w:pStyle w:val="Sraopastraipa"/>
        <w:numPr>
          <w:ilvl w:val="1"/>
          <w:numId w:val="8"/>
        </w:numPr>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Administracijos direktorius ir</w:t>
      </w:r>
      <w:r w:rsidR="00501D09">
        <w:rPr>
          <w:rFonts w:ascii="Times New Roman" w:hAnsi="Times New Roman" w:cs="Times New Roman"/>
          <w:sz w:val="24"/>
          <w:szCs w:val="24"/>
          <w:lang w:eastAsia="lt-LT"/>
        </w:rPr>
        <w:t>/arba jo pavaduotojas</w:t>
      </w:r>
      <w:r w:rsidR="00CF5F35">
        <w:rPr>
          <w:rFonts w:ascii="Times New Roman" w:hAnsi="Times New Roman" w:cs="Times New Roman"/>
          <w:sz w:val="24"/>
          <w:szCs w:val="24"/>
          <w:lang w:eastAsia="lt-LT"/>
        </w:rPr>
        <w:t>,</w:t>
      </w:r>
      <w:r w:rsidR="00B67918">
        <w:rPr>
          <w:rFonts w:ascii="Times New Roman" w:hAnsi="Times New Roman" w:cs="Times New Roman"/>
          <w:sz w:val="24"/>
          <w:szCs w:val="24"/>
          <w:lang w:eastAsia="lt-LT"/>
        </w:rPr>
        <w:t xml:space="preserve"> </w:t>
      </w:r>
      <w:r w:rsidR="00CF5F35">
        <w:rPr>
          <w:rFonts w:ascii="Times New Roman" w:hAnsi="Times New Roman" w:cs="Times New Roman"/>
          <w:sz w:val="24"/>
          <w:szCs w:val="24"/>
          <w:lang w:eastAsia="lt-LT"/>
        </w:rPr>
        <w:t xml:space="preserve">įsakymu </w:t>
      </w:r>
      <w:r w:rsidR="00B67918">
        <w:rPr>
          <w:rFonts w:ascii="Times New Roman" w:hAnsi="Times New Roman" w:cs="Times New Roman"/>
          <w:sz w:val="24"/>
          <w:szCs w:val="24"/>
          <w:lang w:eastAsia="lt-LT"/>
        </w:rPr>
        <w:t>paskiria</w:t>
      </w:r>
      <w:r w:rsidR="00CF5F35">
        <w:rPr>
          <w:rFonts w:ascii="Times New Roman" w:hAnsi="Times New Roman" w:cs="Times New Roman"/>
          <w:sz w:val="24"/>
          <w:szCs w:val="24"/>
          <w:lang w:eastAsia="lt-LT"/>
        </w:rPr>
        <w:t>ntis</w:t>
      </w:r>
      <w:r w:rsidR="00B67918">
        <w:rPr>
          <w:rFonts w:ascii="Times New Roman" w:hAnsi="Times New Roman" w:cs="Times New Roman"/>
          <w:sz w:val="24"/>
          <w:szCs w:val="24"/>
          <w:lang w:eastAsia="lt-LT"/>
        </w:rPr>
        <w:t xml:space="preserve"> </w:t>
      </w:r>
      <w:r w:rsidR="00052B05">
        <w:rPr>
          <w:rFonts w:ascii="Times New Roman" w:hAnsi="Times New Roman" w:cs="Times New Roman"/>
          <w:sz w:val="24"/>
          <w:szCs w:val="24"/>
          <w:lang w:eastAsia="lt-LT"/>
        </w:rPr>
        <w:t xml:space="preserve">rizikų vertinimo </w:t>
      </w:r>
      <w:r w:rsidR="00CF5F35">
        <w:rPr>
          <w:rFonts w:ascii="Times New Roman" w:hAnsi="Times New Roman" w:cs="Times New Roman"/>
          <w:sz w:val="24"/>
          <w:szCs w:val="24"/>
          <w:lang w:eastAsia="lt-LT"/>
        </w:rPr>
        <w:t>darbo grupę</w:t>
      </w:r>
      <w:r w:rsidR="00027549">
        <w:rPr>
          <w:rFonts w:ascii="Times New Roman" w:hAnsi="Times New Roman" w:cs="Times New Roman"/>
          <w:sz w:val="24"/>
          <w:szCs w:val="24"/>
          <w:lang w:eastAsia="lt-LT"/>
        </w:rPr>
        <w:t xml:space="preserve">, </w:t>
      </w:r>
      <w:r w:rsidR="007D6A9C">
        <w:rPr>
          <w:rFonts w:ascii="Times New Roman" w:hAnsi="Times New Roman" w:cs="Times New Roman"/>
          <w:sz w:val="24"/>
          <w:szCs w:val="24"/>
          <w:lang w:eastAsia="lt-LT"/>
        </w:rPr>
        <w:t xml:space="preserve">tvirtina rizikų </w:t>
      </w:r>
      <w:r w:rsidR="00BB7C52">
        <w:rPr>
          <w:rFonts w:ascii="Times New Roman" w:hAnsi="Times New Roman" w:cs="Times New Roman"/>
          <w:sz w:val="24"/>
          <w:szCs w:val="24"/>
          <w:lang w:eastAsia="lt-LT"/>
        </w:rPr>
        <w:t xml:space="preserve">valdymo veiksmų planą, </w:t>
      </w:r>
      <w:r w:rsidR="00A50EEA">
        <w:rPr>
          <w:rFonts w:ascii="Times New Roman" w:hAnsi="Times New Roman" w:cs="Times New Roman"/>
          <w:sz w:val="24"/>
          <w:szCs w:val="24"/>
          <w:lang w:eastAsia="lt-LT"/>
        </w:rPr>
        <w:t>tikrina</w:t>
      </w:r>
      <w:r w:rsidR="00BB7C52">
        <w:rPr>
          <w:rFonts w:ascii="Times New Roman" w:hAnsi="Times New Roman" w:cs="Times New Roman"/>
          <w:sz w:val="24"/>
          <w:szCs w:val="24"/>
          <w:lang w:eastAsia="lt-LT"/>
        </w:rPr>
        <w:t xml:space="preserve"> veiksmų plano įgyvendinimą</w:t>
      </w:r>
      <w:r w:rsidR="00CF5F35">
        <w:rPr>
          <w:rFonts w:ascii="Times New Roman" w:hAnsi="Times New Roman" w:cs="Times New Roman"/>
          <w:sz w:val="24"/>
          <w:szCs w:val="24"/>
          <w:lang w:eastAsia="lt-LT"/>
        </w:rPr>
        <w:t>;</w:t>
      </w:r>
    </w:p>
    <w:p w:rsidR="00CF5F35" w:rsidRDefault="00424E0B" w:rsidP="00241161">
      <w:pPr>
        <w:pStyle w:val="Sraopastraipa"/>
        <w:numPr>
          <w:ilvl w:val="1"/>
          <w:numId w:val="8"/>
        </w:numPr>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Rizikų vertinimo darbo grupė, paskirta Administracijos direktoriaus ir/arba jo pavaduotojo</w:t>
      </w:r>
      <w:r w:rsidR="00894442">
        <w:rPr>
          <w:rFonts w:ascii="Times New Roman" w:hAnsi="Times New Roman" w:cs="Times New Roman"/>
          <w:sz w:val="24"/>
          <w:szCs w:val="24"/>
          <w:lang w:eastAsia="lt-LT"/>
        </w:rPr>
        <w:t xml:space="preserve"> ir atliekanti rizikų vertinimą siekiant nustatyti rizikų reikšmingumą </w:t>
      </w:r>
      <w:r w:rsidR="009F07BE">
        <w:rPr>
          <w:rFonts w:ascii="Times New Roman" w:hAnsi="Times New Roman" w:cs="Times New Roman"/>
          <w:sz w:val="24"/>
          <w:szCs w:val="24"/>
          <w:lang w:eastAsia="lt-LT"/>
        </w:rPr>
        <w:t xml:space="preserve">bei numatyti rizikų valdymo veiksmų planą </w:t>
      </w:r>
      <w:r w:rsidR="007D6A9C">
        <w:rPr>
          <w:rFonts w:ascii="Times New Roman" w:hAnsi="Times New Roman" w:cs="Times New Roman"/>
          <w:sz w:val="24"/>
          <w:szCs w:val="24"/>
          <w:lang w:eastAsia="lt-LT"/>
        </w:rPr>
        <w:t>Administracijos direktoriaus tvirtinimui</w:t>
      </w:r>
      <w:r w:rsidR="0047786A">
        <w:rPr>
          <w:rFonts w:ascii="Times New Roman" w:hAnsi="Times New Roman" w:cs="Times New Roman"/>
          <w:sz w:val="24"/>
          <w:szCs w:val="24"/>
          <w:lang w:eastAsia="lt-LT"/>
        </w:rPr>
        <w:t>;</w:t>
      </w:r>
    </w:p>
    <w:p w:rsidR="00BB7C52" w:rsidRDefault="00722713" w:rsidP="00241161">
      <w:pPr>
        <w:pStyle w:val="Sraopastraipa"/>
        <w:numPr>
          <w:ilvl w:val="1"/>
          <w:numId w:val="8"/>
        </w:numPr>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Visi administracijos </w:t>
      </w:r>
      <w:r w:rsidR="00375CCF">
        <w:rPr>
          <w:rFonts w:ascii="Times New Roman" w:hAnsi="Times New Roman" w:cs="Times New Roman"/>
          <w:sz w:val="24"/>
          <w:szCs w:val="24"/>
          <w:lang w:eastAsia="lt-LT"/>
        </w:rPr>
        <w:t xml:space="preserve">padalinių </w:t>
      </w:r>
      <w:r>
        <w:rPr>
          <w:rFonts w:ascii="Times New Roman" w:hAnsi="Times New Roman" w:cs="Times New Roman"/>
          <w:sz w:val="24"/>
          <w:szCs w:val="24"/>
          <w:lang w:eastAsia="lt-LT"/>
        </w:rPr>
        <w:t>v</w:t>
      </w:r>
      <w:r w:rsidR="004F5D1E">
        <w:rPr>
          <w:rFonts w:ascii="Times New Roman" w:hAnsi="Times New Roman" w:cs="Times New Roman"/>
          <w:sz w:val="24"/>
          <w:szCs w:val="24"/>
          <w:lang w:eastAsia="lt-LT"/>
        </w:rPr>
        <w:t>adovai</w:t>
      </w:r>
      <w:r w:rsidR="00375CCF">
        <w:rPr>
          <w:rFonts w:ascii="Times New Roman" w:hAnsi="Times New Roman" w:cs="Times New Roman"/>
          <w:sz w:val="24"/>
          <w:szCs w:val="24"/>
          <w:lang w:eastAsia="lt-LT"/>
        </w:rPr>
        <w:t xml:space="preserve"> organizuoja ir </w:t>
      </w:r>
      <w:r>
        <w:rPr>
          <w:rFonts w:ascii="Times New Roman" w:hAnsi="Times New Roman" w:cs="Times New Roman"/>
          <w:sz w:val="24"/>
          <w:szCs w:val="24"/>
          <w:lang w:eastAsia="lt-LT"/>
        </w:rPr>
        <w:t>specialistai</w:t>
      </w:r>
      <w:r w:rsidR="00AF611B">
        <w:rPr>
          <w:rFonts w:ascii="Times New Roman" w:hAnsi="Times New Roman" w:cs="Times New Roman"/>
          <w:sz w:val="24"/>
          <w:szCs w:val="24"/>
          <w:lang w:eastAsia="lt-LT"/>
        </w:rPr>
        <w:t xml:space="preserve"> – nustato kiekvieno padalinio, kuriame dirba, rizikas</w:t>
      </w:r>
      <w:r w:rsidR="001912B8">
        <w:rPr>
          <w:rFonts w:ascii="Times New Roman" w:hAnsi="Times New Roman" w:cs="Times New Roman"/>
          <w:sz w:val="24"/>
          <w:szCs w:val="24"/>
          <w:lang w:eastAsia="lt-LT"/>
        </w:rPr>
        <w:t xml:space="preserve"> bei vykdo ir laikosi darbo grupės</w:t>
      </w:r>
      <w:r w:rsidR="001D3B1A">
        <w:rPr>
          <w:rFonts w:ascii="Times New Roman" w:hAnsi="Times New Roman" w:cs="Times New Roman"/>
          <w:sz w:val="24"/>
          <w:szCs w:val="24"/>
          <w:lang w:eastAsia="lt-LT"/>
        </w:rPr>
        <w:t xml:space="preserve"> sudarytų rizikų valdymo</w:t>
      </w:r>
      <w:r w:rsidR="00883968">
        <w:rPr>
          <w:rFonts w:ascii="Times New Roman" w:hAnsi="Times New Roman" w:cs="Times New Roman"/>
          <w:sz w:val="24"/>
          <w:szCs w:val="24"/>
          <w:lang w:eastAsia="lt-LT"/>
        </w:rPr>
        <w:t xml:space="preserve"> veiksmų</w:t>
      </w:r>
      <w:r w:rsidR="001D3B1A">
        <w:rPr>
          <w:rFonts w:ascii="Times New Roman" w:hAnsi="Times New Roman" w:cs="Times New Roman"/>
          <w:sz w:val="24"/>
          <w:szCs w:val="24"/>
          <w:lang w:eastAsia="lt-LT"/>
        </w:rPr>
        <w:t xml:space="preserve"> plan</w:t>
      </w:r>
      <w:r w:rsidR="0047786A">
        <w:rPr>
          <w:rFonts w:ascii="Times New Roman" w:hAnsi="Times New Roman" w:cs="Times New Roman"/>
          <w:sz w:val="24"/>
          <w:szCs w:val="24"/>
          <w:lang w:eastAsia="lt-LT"/>
        </w:rPr>
        <w:t>ų;</w:t>
      </w:r>
    </w:p>
    <w:p w:rsidR="008677CC" w:rsidRDefault="0089595B" w:rsidP="00241161">
      <w:pPr>
        <w:pStyle w:val="Sraopastraipa"/>
        <w:numPr>
          <w:ilvl w:val="1"/>
          <w:numId w:val="8"/>
        </w:numPr>
        <w:ind w:left="0" w:firstLine="720"/>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Administracijos </w:t>
      </w:r>
      <w:r w:rsidR="00375CCF">
        <w:rPr>
          <w:rFonts w:ascii="Times New Roman" w:hAnsi="Times New Roman" w:cs="Times New Roman"/>
          <w:sz w:val="24"/>
          <w:szCs w:val="24"/>
          <w:lang w:eastAsia="lt-LT"/>
        </w:rPr>
        <w:t>padalinių</w:t>
      </w:r>
      <w:r>
        <w:rPr>
          <w:rFonts w:ascii="Times New Roman" w:hAnsi="Times New Roman" w:cs="Times New Roman"/>
          <w:sz w:val="24"/>
          <w:szCs w:val="24"/>
          <w:lang w:eastAsia="lt-LT"/>
        </w:rPr>
        <w:t xml:space="preserve"> </w:t>
      </w:r>
      <w:r w:rsidR="00DE74A8">
        <w:rPr>
          <w:rFonts w:ascii="Times New Roman" w:hAnsi="Times New Roman" w:cs="Times New Roman"/>
          <w:sz w:val="24"/>
          <w:szCs w:val="24"/>
          <w:lang w:eastAsia="lt-LT"/>
        </w:rPr>
        <w:t>vadovai</w:t>
      </w:r>
      <w:r w:rsidR="00375CCF">
        <w:rPr>
          <w:rFonts w:ascii="Times New Roman" w:hAnsi="Times New Roman" w:cs="Times New Roman"/>
          <w:sz w:val="24"/>
          <w:szCs w:val="24"/>
          <w:lang w:eastAsia="lt-LT"/>
        </w:rPr>
        <w:t xml:space="preserve"> </w:t>
      </w:r>
      <w:r w:rsidR="006C5A85">
        <w:rPr>
          <w:rFonts w:ascii="Times New Roman" w:hAnsi="Times New Roman" w:cs="Times New Roman"/>
          <w:sz w:val="24"/>
          <w:szCs w:val="24"/>
          <w:lang w:eastAsia="lt-LT"/>
        </w:rPr>
        <w:t xml:space="preserve">teikia nustatytas rizikas </w:t>
      </w:r>
      <w:r w:rsidR="001D3B1A">
        <w:rPr>
          <w:rFonts w:ascii="Times New Roman" w:hAnsi="Times New Roman" w:cs="Times New Roman"/>
          <w:sz w:val="24"/>
          <w:szCs w:val="24"/>
          <w:lang w:eastAsia="lt-LT"/>
        </w:rPr>
        <w:t>darbo grupei</w:t>
      </w:r>
      <w:r w:rsidR="00F10F56">
        <w:rPr>
          <w:rFonts w:ascii="Times New Roman" w:hAnsi="Times New Roman" w:cs="Times New Roman"/>
          <w:sz w:val="24"/>
          <w:szCs w:val="24"/>
          <w:lang w:eastAsia="lt-LT"/>
        </w:rPr>
        <w:t xml:space="preserve">, kontroliuoja savo </w:t>
      </w:r>
      <w:r w:rsidR="00375CCF">
        <w:rPr>
          <w:rFonts w:ascii="Times New Roman" w:hAnsi="Times New Roman" w:cs="Times New Roman"/>
          <w:sz w:val="24"/>
          <w:szCs w:val="24"/>
          <w:lang w:eastAsia="lt-LT"/>
        </w:rPr>
        <w:t>padalinio</w:t>
      </w:r>
      <w:r w:rsidR="00F10F56">
        <w:rPr>
          <w:rFonts w:ascii="Times New Roman" w:hAnsi="Times New Roman" w:cs="Times New Roman"/>
          <w:sz w:val="24"/>
          <w:szCs w:val="24"/>
          <w:lang w:eastAsia="lt-LT"/>
        </w:rPr>
        <w:t xml:space="preserve"> rizikų valdymo veiksmų plano vykdymą</w:t>
      </w:r>
      <w:r w:rsidR="008677CC">
        <w:rPr>
          <w:rFonts w:ascii="Times New Roman" w:hAnsi="Times New Roman" w:cs="Times New Roman"/>
          <w:sz w:val="24"/>
          <w:szCs w:val="24"/>
          <w:lang w:eastAsia="lt-LT"/>
        </w:rPr>
        <w:t xml:space="preserve"> ir atsiskaito Administracijos direktoriui</w:t>
      </w:r>
      <w:r w:rsidR="000C72D6">
        <w:rPr>
          <w:rFonts w:ascii="Times New Roman" w:hAnsi="Times New Roman" w:cs="Times New Roman"/>
          <w:sz w:val="24"/>
          <w:szCs w:val="24"/>
          <w:lang w:eastAsia="lt-LT"/>
        </w:rPr>
        <w:t>.</w:t>
      </w:r>
    </w:p>
    <w:p w:rsidR="009F56F8" w:rsidRDefault="009F56F8" w:rsidP="009F56F8">
      <w:pPr>
        <w:jc w:val="center"/>
        <w:rPr>
          <w:b/>
          <w:bCs/>
          <w:szCs w:val="24"/>
          <w:lang w:eastAsia="lt-LT"/>
        </w:rPr>
      </w:pPr>
      <w:r>
        <w:rPr>
          <w:b/>
          <w:bCs/>
          <w:szCs w:val="24"/>
          <w:lang w:eastAsia="lt-LT"/>
        </w:rPr>
        <w:t>III SKYRIUS</w:t>
      </w:r>
    </w:p>
    <w:p w:rsidR="00154417" w:rsidRDefault="009F56F8" w:rsidP="00277D46">
      <w:pPr>
        <w:jc w:val="center"/>
        <w:rPr>
          <w:b/>
          <w:bCs/>
          <w:szCs w:val="24"/>
          <w:lang w:eastAsia="lt-LT"/>
        </w:rPr>
      </w:pPr>
      <w:r>
        <w:rPr>
          <w:b/>
          <w:bCs/>
          <w:szCs w:val="24"/>
          <w:lang w:eastAsia="lt-LT"/>
        </w:rPr>
        <w:t>RIZIKŲ NUSTATYMAS</w:t>
      </w:r>
    </w:p>
    <w:p w:rsidR="009F56F8" w:rsidRPr="00CA5388" w:rsidRDefault="009F56F8" w:rsidP="005D1600">
      <w:pPr>
        <w:tabs>
          <w:tab w:val="left" w:pos="1418"/>
        </w:tabs>
        <w:rPr>
          <w:szCs w:val="24"/>
          <w:lang w:eastAsia="lt-LT"/>
        </w:rPr>
      </w:pPr>
    </w:p>
    <w:p w:rsidR="00277D46" w:rsidRPr="00277D46" w:rsidRDefault="009B0610" w:rsidP="005D1600">
      <w:pPr>
        <w:pStyle w:val="Sraopastraipa"/>
        <w:numPr>
          <w:ilvl w:val="0"/>
          <w:numId w:val="8"/>
        </w:numPr>
        <w:tabs>
          <w:tab w:val="left" w:pos="1134"/>
          <w:tab w:val="left" w:pos="1418"/>
          <w:tab w:val="left" w:pos="1560"/>
        </w:tabs>
        <w:ind w:left="0" w:firstLine="720"/>
        <w:jc w:val="both"/>
        <w:rPr>
          <w:rFonts w:ascii="Times New Roman" w:hAnsi="Times New Roman" w:cs="Times New Roman"/>
          <w:sz w:val="24"/>
          <w:szCs w:val="28"/>
          <w:lang w:eastAsia="lt-LT"/>
        </w:rPr>
      </w:pPr>
      <w:r>
        <w:rPr>
          <w:rFonts w:ascii="Times New Roman" w:hAnsi="Times New Roman" w:cs="Times New Roman"/>
          <w:sz w:val="24"/>
          <w:szCs w:val="28"/>
          <w:lang w:eastAsia="lt-LT"/>
        </w:rPr>
        <w:t>R</w:t>
      </w:r>
      <w:r w:rsidR="00277D46" w:rsidRPr="00277D46">
        <w:rPr>
          <w:rFonts w:ascii="Times New Roman" w:hAnsi="Times New Roman" w:cs="Times New Roman"/>
          <w:sz w:val="24"/>
          <w:szCs w:val="28"/>
          <w:lang w:eastAsia="lt-LT"/>
        </w:rPr>
        <w:t xml:space="preserve">izikos veiksnių nustatymo paskirtis – nustatyti visus svarbius su </w:t>
      </w:r>
      <w:r w:rsidR="00CA5388">
        <w:rPr>
          <w:rFonts w:ascii="Times New Roman" w:hAnsi="Times New Roman" w:cs="Times New Roman"/>
          <w:sz w:val="24"/>
          <w:szCs w:val="28"/>
          <w:lang w:eastAsia="lt-LT"/>
        </w:rPr>
        <w:t>Administracijos</w:t>
      </w:r>
      <w:r w:rsidR="00277D46" w:rsidRPr="00277D46">
        <w:rPr>
          <w:rFonts w:ascii="Times New Roman" w:hAnsi="Times New Roman" w:cs="Times New Roman"/>
          <w:sz w:val="24"/>
          <w:szCs w:val="28"/>
          <w:lang w:eastAsia="lt-LT"/>
        </w:rPr>
        <w:t xml:space="preserve"> veiklos tikslais susijusius rizikos veiksnius, galinčius turėti neigiamos įtakos įgyvendinant </w:t>
      </w:r>
      <w:r w:rsidR="00CA5388">
        <w:rPr>
          <w:rFonts w:ascii="Times New Roman" w:hAnsi="Times New Roman" w:cs="Times New Roman"/>
          <w:sz w:val="24"/>
          <w:szCs w:val="28"/>
          <w:lang w:eastAsia="lt-LT"/>
        </w:rPr>
        <w:t>Administracijos</w:t>
      </w:r>
      <w:r w:rsidR="00277D46" w:rsidRPr="00277D46">
        <w:rPr>
          <w:rFonts w:ascii="Times New Roman" w:hAnsi="Times New Roman" w:cs="Times New Roman"/>
          <w:sz w:val="24"/>
          <w:szCs w:val="28"/>
          <w:lang w:eastAsia="lt-LT"/>
        </w:rPr>
        <w:t xml:space="preserve"> veiklos tikslus.  </w:t>
      </w:r>
    </w:p>
    <w:p w:rsidR="00277D46" w:rsidRPr="00277D46" w:rsidRDefault="00277D46" w:rsidP="005D1600">
      <w:pPr>
        <w:pStyle w:val="Sraopastraipa"/>
        <w:numPr>
          <w:ilvl w:val="0"/>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 xml:space="preserve">Įvykiai nustatomi </w:t>
      </w:r>
      <w:r w:rsidR="001F7E03">
        <w:rPr>
          <w:rFonts w:ascii="Times New Roman" w:hAnsi="Times New Roman" w:cs="Times New Roman"/>
          <w:sz w:val="24"/>
          <w:szCs w:val="28"/>
          <w:lang w:eastAsia="lt-LT"/>
        </w:rPr>
        <w:t xml:space="preserve">padalinio vadovui organizuojant </w:t>
      </w:r>
      <w:r w:rsidRPr="00277D46">
        <w:rPr>
          <w:rFonts w:ascii="Times New Roman" w:hAnsi="Times New Roman" w:cs="Times New Roman"/>
          <w:sz w:val="24"/>
          <w:szCs w:val="28"/>
          <w:lang w:eastAsia="lt-LT"/>
        </w:rPr>
        <w:t>struktūrišką grupinę diskusiją</w:t>
      </w:r>
      <w:r w:rsidR="000D6B4A">
        <w:rPr>
          <w:rFonts w:ascii="Times New Roman" w:hAnsi="Times New Roman" w:cs="Times New Roman"/>
          <w:sz w:val="24"/>
          <w:szCs w:val="28"/>
          <w:lang w:eastAsia="lt-LT"/>
        </w:rPr>
        <w:t xml:space="preserve"> atskirai kiekviename Administracijos </w:t>
      </w:r>
      <w:r w:rsidR="001F7E03">
        <w:rPr>
          <w:rFonts w:ascii="Times New Roman" w:hAnsi="Times New Roman" w:cs="Times New Roman"/>
          <w:sz w:val="24"/>
          <w:szCs w:val="28"/>
          <w:lang w:eastAsia="lt-LT"/>
        </w:rPr>
        <w:t>padalinyje</w:t>
      </w:r>
      <w:r w:rsidRPr="00277D46">
        <w:rPr>
          <w:rFonts w:ascii="Times New Roman" w:hAnsi="Times New Roman" w:cs="Times New Roman"/>
          <w:sz w:val="24"/>
          <w:szCs w:val="28"/>
          <w:lang w:eastAsia="lt-LT"/>
        </w:rPr>
        <w:t>, kurios metu diskusijos dalyviai aptaria vis</w:t>
      </w:r>
      <w:r w:rsidR="00A53976">
        <w:rPr>
          <w:rFonts w:ascii="Times New Roman" w:hAnsi="Times New Roman" w:cs="Times New Roman"/>
          <w:sz w:val="24"/>
          <w:szCs w:val="28"/>
          <w:lang w:eastAsia="lt-LT"/>
        </w:rPr>
        <w:t>a</w:t>
      </w:r>
      <w:r w:rsidRPr="00277D46">
        <w:rPr>
          <w:rFonts w:ascii="Times New Roman" w:hAnsi="Times New Roman" w:cs="Times New Roman"/>
          <w:sz w:val="24"/>
          <w:szCs w:val="28"/>
          <w:lang w:eastAsia="lt-LT"/>
        </w:rPr>
        <w:t xml:space="preserve">s atitinkamo </w:t>
      </w:r>
      <w:r w:rsidR="001F7E03">
        <w:rPr>
          <w:rFonts w:ascii="Times New Roman" w:hAnsi="Times New Roman" w:cs="Times New Roman"/>
          <w:sz w:val="24"/>
          <w:szCs w:val="28"/>
          <w:lang w:eastAsia="lt-LT"/>
        </w:rPr>
        <w:t>padalinio</w:t>
      </w:r>
      <w:r w:rsidRPr="00277D46">
        <w:rPr>
          <w:rFonts w:ascii="Times New Roman" w:hAnsi="Times New Roman" w:cs="Times New Roman"/>
          <w:sz w:val="24"/>
          <w:szCs w:val="28"/>
          <w:lang w:eastAsia="lt-LT"/>
        </w:rPr>
        <w:t xml:space="preserve"> ateinančių metų veiklos priemones ir jų įgyvendinimui</w:t>
      </w:r>
      <w:r w:rsidR="00566E7A">
        <w:rPr>
          <w:rFonts w:ascii="Times New Roman" w:hAnsi="Times New Roman" w:cs="Times New Roman"/>
          <w:sz w:val="24"/>
          <w:szCs w:val="28"/>
          <w:lang w:eastAsia="lt-LT"/>
        </w:rPr>
        <w:t xml:space="preserve"> ir apskritai </w:t>
      </w:r>
      <w:r w:rsidR="001F7E03">
        <w:rPr>
          <w:rFonts w:ascii="Times New Roman" w:hAnsi="Times New Roman" w:cs="Times New Roman"/>
          <w:sz w:val="24"/>
          <w:szCs w:val="28"/>
          <w:lang w:eastAsia="lt-LT"/>
        </w:rPr>
        <w:t>padalinio</w:t>
      </w:r>
      <w:r w:rsidR="00566E7A">
        <w:rPr>
          <w:rFonts w:ascii="Times New Roman" w:hAnsi="Times New Roman" w:cs="Times New Roman"/>
          <w:sz w:val="24"/>
          <w:szCs w:val="28"/>
          <w:lang w:eastAsia="lt-LT"/>
        </w:rPr>
        <w:t xml:space="preserve"> veiklai</w:t>
      </w:r>
      <w:r w:rsidRPr="00277D46">
        <w:rPr>
          <w:rFonts w:ascii="Times New Roman" w:hAnsi="Times New Roman" w:cs="Times New Roman"/>
          <w:sz w:val="24"/>
          <w:szCs w:val="28"/>
          <w:lang w:eastAsia="lt-LT"/>
        </w:rPr>
        <w:t xml:space="preserve"> galinčius turėti įtakos įvykius, atsižvelgiant į praeities įvykius ir prognozuojamas tendencijas. </w:t>
      </w:r>
    </w:p>
    <w:p w:rsidR="00277D46" w:rsidRPr="00277D46" w:rsidRDefault="00277D46" w:rsidP="005D1600">
      <w:pPr>
        <w:pStyle w:val="Sraopastraipa"/>
        <w:numPr>
          <w:ilvl w:val="0"/>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 xml:space="preserve">Rizikos veiksniai nustatomi laikotarpiui, lygiam periodinio rizikos valdymo ir veiklos planavimo ciklui – </w:t>
      </w:r>
      <w:r w:rsidRPr="00095204">
        <w:rPr>
          <w:rFonts w:ascii="Times New Roman" w:hAnsi="Times New Roman" w:cs="Times New Roman"/>
          <w:sz w:val="24"/>
          <w:szCs w:val="28"/>
          <w:lang w:eastAsia="lt-LT"/>
        </w:rPr>
        <w:t>vieneriems metams</w:t>
      </w:r>
      <w:r w:rsidRPr="00277D46">
        <w:rPr>
          <w:rFonts w:ascii="Times New Roman" w:hAnsi="Times New Roman" w:cs="Times New Roman"/>
          <w:sz w:val="24"/>
          <w:szCs w:val="28"/>
          <w:lang w:eastAsia="lt-LT"/>
        </w:rPr>
        <w:t>.</w:t>
      </w:r>
    </w:p>
    <w:p w:rsidR="00277D46" w:rsidRPr="00277D46" w:rsidRDefault="00277D46" w:rsidP="005D1600">
      <w:pPr>
        <w:pStyle w:val="Sraopastraipa"/>
        <w:numPr>
          <w:ilvl w:val="0"/>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 xml:space="preserve">Įvykių nustatymo metu pirmiausia apsvarstomi visi galimi įvykiai (kuriuos lemia vidinės ir išorinės aplinkos pokyčiai). Tai ir akivaizdūs ir sunkiai pastebimi įvykiai, esant nežymiam ir itin reikšmingam poveikiui. Kad visi įvykiai būtų pastebėti, rekomenduojama rizikos veiksnius nustatyti atskirai nuo tikimybės ir poveikio įvertinimo, nes šie žingsniai tiesiogiai susiję su rizikos vertinimo tema. </w:t>
      </w:r>
    </w:p>
    <w:p w:rsidR="00277D46" w:rsidRPr="00277D46" w:rsidRDefault="00277D46" w:rsidP="005D1600">
      <w:pPr>
        <w:pStyle w:val="Sraopastraipa"/>
        <w:numPr>
          <w:ilvl w:val="0"/>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Rekomenduojamas toks rizikos nustatymo grupinės diskusijos metu planas:</w:t>
      </w:r>
    </w:p>
    <w:p w:rsidR="00277D46" w:rsidRPr="00277D46" w:rsidRDefault="00277D46" w:rsidP="005D1600">
      <w:pPr>
        <w:pStyle w:val="Sraopastraipa"/>
        <w:numPr>
          <w:ilvl w:val="1"/>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 xml:space="preserve">nustatomi pagrindiniai </w:t>
      </w:r>
      <w:r w:rsidR="001F7E03">
        <w:rPr>
          <w:rFonts w:ascii="Times New Roman" w:hAnsi="Times New Roman" w:cs="Times New Roman"/>
          <w:sz w:val="24"/>
          <w:szCs w:val="28"/>
          <w:lang w:eastAsia="lt-LT"/>
        </w:rPr>
        <w:t>Padalinio</w:t>
      </w:r>
      <w:r w:rsidRPr="00277D46">
        <w:rPr>
          <w:rFonts w:ascii="Times New Roman" w:hAnsi="Times New Roman" w:cs="Times New Roman"/>
          <w:sz w:val="24"/>
          <w:szCs w:val="28"/>
          <w:lang w:eastAsia="lt-LT"/>
        </w:rPr>
        <w:t xml:space="preserve"> veiklos tikslai (priemonės, veiksmai, proceso ir / ar indėlio vertinimo kriterijai ir jų rodikliai);</w:t>
      </w:r>
    </w:p>
    <w:p w:rsidR="00277D46" w:rsidRPr="00277D46" w:rsidRDefault="00277D46" w:rsidP="005D1600">
      <w:pPr>
        <w:pStyle w:val="Sraopastraipa"/>
        <w:numPr>
          <w:ilvl w:val="1"/>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 xml:space="preserve">apibrėžiama, kaip </w:t>
      </w:r>
      <w:r w:rsidR="001F7E03">
        <w:rPr>
          <w:rFonts w:ascii="Times New Roman" w:hAnsi="Times New Roman" w:cs="Times New Roman"/>
          <w:sz w:val="24"/>
          <w:szCs w:val="28"/>
          <w:lang w:eastAsia="lt-LT"/>
        </w:rPr>
        <w:t>Padalinio</w:t>
      </w:r>
      <w:r w:rsidRPr="00277D46">
        <w:rPr>
          <w:rFonts w:ascii="Times New Roman" w:hAnsi="Times New Roman" w:cs="Times New Roman"/>
          <w:sz w:val="24"/>
          <w:szCs w:val="28"/>
          <w:lang w:eastAsia="lt-LT"/>
        </w:rPr>
        <w:t xml:space="preserve"> veikla siejasi su </w:t>
      </w:r>
      <w:r w:rsidR="0014690B">
        <w:rPr>
          <w:rFonts w:ascii="Times New Roman" w:hAnsi="Times New Roman" w:cs="Times New Roman"/>
          <w:sz w:val="24"/>
          <w:szCs w:val="28"/>
          <w:lang w:eastAsia="lt-LT"/>
        </w:rPr>
        <w:t>Administracijos</w:t>
      </w:r>
      <w:r w:rsidRPr="00277D46">
        <w:rPr>
          <w:rFonts w:ascii="Times New Roman" w:hAnsi="Times New Roman" w:cs="Times New Roman"/>
          <w:sz w:val="24"/>
          <w:szCs w:val="28"/>
          <w:lang w:eastAsia="lt-LT"/>
        </w:rPr>
        <w:t xml:space="preserve"> veiklos tikslais;</w:t>
      </w:r>
    </w:p>
    <w:p w:rsidR="00277D46" w:rsidRPr="00277D46" w:rsidRDefault="00277D46" w:rsidP="005D1600">
      <w:pPr>
        <w:pStyle w:val="Sraopastraipa"/>
        <w:numPr>
          <w:ilvl w:val="1"/>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nustatomas priimtinas veiklos nukrypimas nuo siekiamos reikšmės dydžio  (tolerancija);</w:t>
      </w:r>
    </w:p>
    <w:p w:rsidR="00277D46" w:rsidRPr="00277D46" w:rsidRDefault="00277D46" w:rsidP="005D1600">
      <w:pPr>
        <w:pStyle w:val="Sraopastraipa"/>
        <w:numPr>
          <w:ilvl w:val="1"/>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 xml:space="preserve">aptariami rizikos faktoriai, galintys nulemti įvykius, kurie turėtų neigiamos įtakos </w:t>
      </w:r>
      <w:r w:rsidR="001F7E03">
        <w:rPr>
          <w:rFonts w:ascii="Times New Roman" w:hAnsi="Times New Roman" w:cs="Times New Roman"/>
          <w:sz w:val="24"/>
          <w:szCs w:val="28"/>
          <w:lang w:eastAsia="lt-LT"/>
        </w:rPr>
        <w:t>padalinio</w:t>
      </w:r>
      <w:r w:rsidRPr="00277D46">
        <w:rPr>
          <w:rFonts w:ascii="Times New Roman" w:hAnsi="Times New Roman" w:cs="Times New Roman"/>
          <w:sz w:val="24"/>
          <w:szCs w:val="28"/>
          <w:lang w:eastAsia="lt-LT"/>
        </w:rPr>
        <w:t xml:space="preserve"> veiklai ir kartu </w:t>
      </w:r>
      <w:r w:rsidR="00C07C68">
        <w:rPr>
          <w:rFonts w:ascii="Times New Roman" w:hAnsi="Times New Roman" w:cs="Times New Roman"/>
          <w:sz w:val="24"/>
          <w:szCs w:val="28"/>
          <w:lang w:eastAsia="lt-LT"/>
        </w:rPr>
        <w:t>Administracijos</w:t>
      </w:r>
      <w:r w:rsidRPr="00277D46">
        <w:rPr>
          <w:rFonts w:ascii="Times New Roman" w:hAnsi="Times New Roman" w:cs="Times New Roman"/>
          <w:sz w:val="24"/>
          <w:szCs w:val="28"/>
          <w:lang w:eastAsia="lt-LT"/>
        </w:rPr>
        <w:t xml:space="preserve"> veiklos tikslų siekimui;</w:t>
      </w:r>
    </w:p>
    <w:p w:rsidR="00277D46" w:rsidRPr="00277D46" w:rsidRDefault="00277D46" w:rsidP="005D1600">
      <w:pPr>
        <w:pStyle w:val="Sraopastraipa"/>
        <w:numPr>
          <w:ilvl w:val="1"/>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 xml:space="preserve">nustatomi įvykiai, galintys turėti neigiamą įtaką </w:t>
      </w:r>
      <w:r w:rsidR="001F7E03">
        <w:rPr>
          <w:rFonts w:ascii="Times New Roman" w:hAnsi="Times New Roman" w:cs="Times New Roman"/>
          <w:sz w:val="24"/>
          <w:szCs w:val="28"/>
          <w:lang w:eastAsia="lt-LT"/>
        </w:rPr>
        <w:t>Padalinio</w:t>
      </w:r>
      <w:r w:rsidRPr="00277D46">
        <w:rPr>
          <w:rFonts w:ascii="Times New Roman" w:hAnsi="Times New Roman" w:cs="Times New Roman"/>
          <w:sz w:val="24"/>
          <w:szCs w:val="28"/>
          <w:lang w:eastAsia="lt-LT"/>
        </w:rPr>
        <w:t xml:space="preserve"> veiklai (rizikos veiksniams);</w:t>
      </w:r>
    </w:p>
    <w:p w:rsidR="00277D46" w:rsidRPr="00277D46" w:rsidRDefault="00277D46" w:rsidP="005D1600">
      <w:pPr>
        <w:pStyle w:val="Sraopastraipa"/>
        <w:numPr>
          <w:ilvl w:val="1"/>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 xml:space="preserve">nurodomi nenumatyti įvykiai per praėjusius 12 mėnesių, turėję neigiamos įtakos </w:t>
      </w:r>
      <w:r w:rsidR="001F7E03">
        <w:rPr>
          <w:rFonts w:ascii="Times New Roman" w:hAnsi="Times New Roman" w:cs="Times New Roman"/>
          <w:sz w:val="24"/>
          <w:szCs w:val="28"/>
          <w:lang w:eastAsia="lt-LT"/>
        </w:rPr>
        <w:t>Padalinio</w:t>
      </w:r>
      <w:r w:rsidRPr="00277D46">
        <w:rPr>
          <w:rFonts w:ascii="Times New Roman" w:hAnsi="Times New Roman" w:cs="Times New Roman"/>
          <w:sz w:val="24"/>
          <w:szCs w:val="28"/>
          <w:lang w:eastAsia="lt-LT"/>
        </w:rPr>
        <w:t xml:space="preserve"> veiklai, kurių </w:t>
      </w:r>
      <w:r w:rsidR="004408EA">
        <w:rPr>
          <w:rFonts w:ascii="Times New Roman" w:hAnsi="Times New Roman" w:cs="Times New Roman"/>
          <w:sz w:val="24"/>
          <w:szCs w:val="28"/>
          <w:lang w:eastAsia="lt-LT"/>
        </w:rPr>
        <w:t>Administracijos</w:t>
      </w:r>
      <w:r w:rsidRPr="00277D46">
        <w:rPr>
          <w:rFonts w:ascii="Times New Roman" w:hAnsi="Times New Roman" w:cs="Times New Roman"/>
          <w:sz w:val="24"/>
          <w:szCs w:val="28"/>
          <w:lang w:eastAsia="lt-LT"/>
        </w:rPr>
        <w:t xml:space="preserve"> vadovybė, vedėjai, darbuotojai nebuvo numatę; </w:t>
      </w:r>
    </w:p>
    <w:p w:rsidR="00277D46" w:rsidRPr="00277D46" w:rsidRDefault="00277D46" w:rsidP="005D1600">
      <w:pPr>
        <w:pStyle w:val="Sraopastraipa"/>
        <w:numPr>
          <w:ilvl w:val="1"/>
          <w:numId w:val="8"/>
        </w:numPr>
        <w:tabs>
          <w:tab w:val="left" w:pos="1134"/>
          <w:tab w:val="left" w:pos="1418"/>
          <w:tab w:val="left" w:pos="1560"/>
        </w:tabs>
        <w:ind w:left="0" w:firstLine="720"/>
        <w:jc w:val="both"/>
        <w:rPr>
          <w:rFonts w:ascii="Times New Roman" w:hAnsi="Times New Roman" w:cs="Times New Roman"/>
          <w:sz w:val="24"/>
          <w:szCs w:val="28"/>
          <w:lang w:eastAsia="lt-LT"/>
        </w:rPr>
      </w:pPr>
      <w:r w:rsidRPr="00277D46">
        <w:rPr>
          <w:rFonts w:ascii="Times New Roman" w:hAnsi="Times New Roman" w:cs="Times New Roman"/>
          <w:sz w:val="24"/>
          <w:szCs w:val="28"/>
          <w:lang w:eastAsia="lt-LT"/>
        </w:rPr>
        <w:t>aptariamos rizikos identifikavimo proceso tobulinimo galimybės.</w:t>
      </w:r>
    </w:p>
    <w:p w:rsidR="00AE22C9" w:rsidRDefault="0026067D" w:rsidP="005D1600">
      <w:pPr>
        <w:pStyle w:val="Sraopastraipa"/>
        <w:numPr>
          <w:ilvl w:val="0"/>
          <w:numId w:val="8"/>
        </w:numPr>
        <w:tabs>
          <w:tab w:val="left" w:pos="1134"/>
          <w:tab w:val="left" w:pos="1418"/>
          <w:tab w:val="left" w:pos="1560"/>
        </w:tabs>
        <w:ind w:left="0" w:firstLine="720"/>
        <w:jc w:val="both"/>
        <w:rPr>
          <w:rFonts w:ascii="Times New Roman" w:hAnsi="Times New Roman" w:cs="Times New Roman"/>
          <w:sz w:val="24"/>
          <w:szCs w:val="28"/>
          <w:lang w:eastAsia="lt-LT"/>
        </w:rPr>
      </w:pPr>
      <w:r>
        <w:rPr>
          <w:rFonts w:ascii="Times New Roman" w:hAnsi="Times New Roman" w:cs="Times New Roman"/>
          <w:sz w:val="24"/>
          <w:szCs w:val="28"/>
          <w:lang w:eastAsia="lt-LT"/>
        </w:rPr>
        <w:t>Diskusijos metu</w:t>
      </w:r>
      <w:r w:rsidR="008F6E1B">
        <w:rPr>
          <w:rFonts w:ascii="Times New Roman" w:hAnsi="Times New Roman" w:cs="Times New Roman"/>
          <w:sz w:val="24"/>
          <w:szCs w:val="28"/>
          <w:lang w:eastAsia="lt-LT"/>
        </w:rPr>
        <w:t xml:space="preserve"> diskusiją vedančių darbuotojų paskirt</w:t>
      </w:r>
      <w:r w:rsidR="00D90F11">
        <w:rPr>
          <w:rFonts w:ascii="Times New Roman" w:hAnsi="Times New Roman" w:cs="Times New Roman"/>
          <w:sz w:val="24"/>
          <w:szCs w:val="28"/>
          <w:lang w:eastAsia="lt-LT"/>
        </w:rPr>
        <w:t xml:space="preserve">i </w:t>
      </w:r>
      <w:r w:rsidR="003465C5">
        <w:rPr>
          <w:rFonts w:ascii="Times New Roman" w:hAnsi="Times New Roman" w:cs="Times New Roman"/>
          <w:sz w:val="24"/>
          <w:szCs w:val="28"/>
          <w:lang w:eastAsia="lt-LT"/>
        </w:rPr>
        <w:t>asmenys</w:t>
      </w:r>
      <w:r>
        <w:rPr>
          <w:rFonts w:ascii="Times New Roman" w:hAnsi="Times New Roman" w:cs="Times New Roman"/>
          <w:sz w:val="24"/>
          <w:szCs w:val="28"/>
          <w:lang w:eastAsia="lt-LT"/>
        </w:rPr>
        <w:t xml:space="preserve"> pildo</w:t>
      </w:r>
      <w:r w:rsidR="00EC1040">
        <w:rPr>
          <w:rFonts w:ascii="Times New Roman" w:hAnsi="Times New Roman" w:cs="Times New Roman"/>
          <w:sz w:val="24"/>
          <w:szCs w:val="28"/>
          <w:lang w:eastAsia="lt-LT"/>
        </w:rPr>
        <w:t xml:space="preserve"> rizikos veiksnių (faktorių</w:t>
      </w:r>
      <w:r w:rsidR="008C315C">
        <w:rPr>
          <w:rFonts w:ascii="Times New Roman" w:hAnsi="Times New Roman" w:cs="Times New Roman"/>
          <w:sz w:val="24"/>
          <w:szCs w:val="28"/>
          <w:lang w:eastAsia="lt-LT"/>
        </w:rPr>
        <w:t>) registro stulpeli</w:t>
      </w:r>
      <w:r w:rsidR="00D90F11">
        <w:rPr>
          <w:rFonts w:ascii="Times New Roman" w:hAnsi="Times New Roman" w:cs="Times New Roman"/>
          <w:sz w:val="24"/>
          <w:szCs w:val="28"/>
          <w:lang w:eastAsia="lt-LT"/>
        </w:rPr>
        <w:t>us</w:t>
      </w:r>
      <w:r w:rsidR="008C315C">
        <w:rPr>
          <w:rFonts w:ascii="Times New Roman" w:hAnsi="Times New Roman" w:cs="Times New Roman"/>
          <w:sz w:val="24"/>
          <w:szCs w:val="28"/>
          <w:lang w:eastAsia="lt-LT"/>
        </w:rPr>
        <w:t xml:space="preserve"> Nr. 1,</w:t>
      </w:r>
      <w:r w:rsidR="000C72D6">
        <w:rPr>
          <w:rFonts w:ascii="Times New Roman" w:hAnsi="Times New Roman" w:cs="Times New Roman"/>
          <w:sz w:val="24"/>
          <w:szCs w:val="28"/>
          <w:lang w:eastAsia="lt-LT"/>
        </w:rPr>
        <w:t xml:space="preserve"> </w:t>
      </w:r>
      <w:r w:rsidR="008C315C">
        <w:rPr>
          <w:rFonts w:ascii="Times New Roman" w:hAnsi="Times New Roman" w:cs="Times New Roman"/>
          <w:sz w:val="24"/>
          <w:szCs w:val="28"/>
          <w:lang w:eastAsia="lt-LT"/>
        </w:rPr>
        <w:t>2,</w:t>
      </w:r>
      <w:r w:rsidR="000C72D6">
        <w:rPr>
          <w:rFonts w:ascii="Times New Roman" w:hAnsi="Times New Roman" w:cs="Times New Roman"/>
          <w:sz w:val="24"/>
          <w:szCs w:val="28"/>
          <w:lang w:eastAsia="lt-LT"/>
        </w:rPr>
        <w:t xml:space="preserve"> </w:t>
      </w:r>
      <w:r w:rsidR="008C315C">
        <w:rPr>
          <w:rFonts w:ascii="Times New Roman" w:hAnsi="Times New Roman" w:cs="Times New Roman"/>
          <w:sz w:val="24"/>
          <w:szCs w:val="28"/>
          <w:lang w:eastAsia="lt-LT"/>
        </w:rPr>
        <w:t>3,</w:t>
      </w:r>
      <w:r w:rsidR="000C72D6">
        <w:rPr>
          <w:rFonts w:ascii="Times New Roman" w:hAnsi="Times New Roman" w:cs="Times New Roman"/>
          <w:sz w:val="24"/>
          <w:szCs w:val="28"/>
          <w:lang w:eastAsia="lt-LT"/>
        </w:rPr>
        <w:t xml:space="preserve"> </w:t>
      </w:r>
      <w:r w:rsidR="008C315C">
        <w:rPr>
          <w:rFonts w:ascii="Times New Roman" w:hAnsi="Times New Roman" w:cs="Times New Roman"/>
          <w:sz w:val="24"/>
          <w:szCs w:val="28"/>
          <w:lang w:eastAsia="lt-LT"/>
        </w:rPr>
        <w:t>4</w:t>
      </w:r>
      <w:r w:rsidR="008B1C2D">
        <w:rPr>
          <w:rFonts w:ascii="Times New Roman" w:hAnsi="Times New Roman" w:cs="Times New Roman"/>
          <w:sz w:val="24"/>
          <w:szCs w:val="28"/>
          <w:lang w:eastAsia="lt-LT"/>
        </w:rPr>
        <w:t>,</w:t>
      </w:r>
      <w:r w:rsidR="000C72D6">
        <w:rPr>
          <w:rFonts w:ascii="Times New Roman" w:hAnsi="Times New Roman" w:cs="Times New Roman"/>
          <w:sz w:val="24"/>
          <w:szCs w:val="28"/>
          <w:lang w:eastAsia="lt-LT"/>
        </w:rPr>
        <w:t xml:space="preserve"> </w:t>
      </w:r>
      <w:r w:rsidR="008B1C2D">
        <w:rPr>
          <w:rFonts w:ascii="Times New Roman" w:hAnsi="Times New Roman" w:cs="Times New Roman"/>
          <w:sz w:val="24"/>
          <w:szCs w:val="28"/>
          <w:lang w:eastAsia="lt-LT"/>
        </w:rPr>
        <w:t>5</w:t>
      </w:r>
      <w:r w:rsidR="00A417B0">
        <w:rPr>
          <w:rFonts w:ascii="Times New Roman" w:hAnsi="Times New Roman" w:cs="Times New Roman"/>
          <w:sz w:val="24"/>
          <w:szCs w:val="28"/>
          <w:lang w:eastAsia="lt-LT"/>
        </w:rPr>
        <w:t xml:space="preserve"> (žr. </w:t>
      </w:r>
      <w:r w:rsidR="00A417B0" w:rsidRPr="003465C5">
        <w:rPr>
          <w:rFonts w:ascii="Times New Roman" w:hAnsi="Times New Roman" w:cs="Times New Roman"/>
          <w:sz w:val="24"/>
          <w:szCs w:val="28"/>
          <w:lang w:eastAsia="lt-LT"/>
        </w:rPr>
        <w:t>1 priedą)</w:t>
      </w:r>
      <w:r w:rsidR="00DE0FB0">
        <w:rPr>
          <w:rFonts w:ascii="Times New Roman" w:hAnsi="Times New Roman" w:cs="Times New Roman"/>
          <w:sz w:val="24"/>
          <w:szCs w:val="28"/>
          <w:lang w:eastAsia="lt-LT"/>
        </w:rPr>
        <w:t>:</w:t>
      </w:r>
      <w:r w:rsidR="00FD79D4" w:rsidRPr="003465C5">
        <w:rPr>
          <w:rFonts w:ascii="Times New Roman" w:hAnsi="Times New Roman" w:cs="Times New Roman"/>
          <w:sz w:val="24"/>
          <w:szCs w:val="28"/>
          <w:lang w:eastAsia="lt-LT"/>
        </w:rPr>
        <w:t xml:space="preserve"> </w:t>
      </w:r>
    </w:p>
    <w:p w:rsidR="00456D8C" w:rsidRDefault="00456D8C" w:rsidP="005D1600">
      <w:pPr>
        <w:pStyle w:val="Sraopastraipa"/>
        <w:numPr>
          <w:ilvl w:val="1"/>
          <w:numId w:val="8"/>
        </w:numPr>
        <w:tabs>
          <w:tab w:val="left" w:pos="1134"/>
          <w:tab w:val="left" w:pos="1418"/>
          <w:tab w:val="left" w:pos="1560"/>
        </w:tabs>
        <w:ind w:left="0" w:firstLine="720"/>
        <w:jc w:val="both"/>
        <w:rPr>
          <w:rFonts w:ascii="Times New Roman" w:hAnsi="Times New Roman" w:cs="Times New Roman"/>
          <w:sz w:val="24"/>
          <w:szCs w:val="28"/>
          <w:lang w:eastAsia="lt-LT"/>
        </w:rPr>
      </w:pPr>
      <w:r>
        <w:rPr>
          <w:rFonts w:ascii="Times New Roman" w:hAnsi="Times New Roman" w:cs="Times New Roman"/>
          <w:sz w:val="24"/>
          <w:szCs w:val="28"/>
          <w:lang w:eastAsia="lt-LT"/>
        </w:rPr>
        <w:t>Vietoje rizikos veiksnių (faktorių) registro sk</w:t>
      </w:r>
      <w:r w:rsidR="004324A0">
        <w:rPr>
          <w:rFonts w:ascii="Times New Roman" w:hAnsi="Times New Roman" w:cs="Times New Roman"/>
          <w:sz w:val="24"/>
          <w:szCs w:val="28"/>
          <w:lang w:eastAsia="lt-LT"/>
        </w:rPr>
        <w:t>iltyse</w:t>
      </w:r>
      <w:r>
        <w:rPr>
          <w:rFonts w:ascii="Times New Roman" w:hAnsi="Times New Roman" w:cs="Times New Roman"/>
          <w:sz w:val="24"/>
          <w:szCs w:val="28"/>
          <w:lang w:eastAsia="lt-LT"/>
        </w:rPr>
        <w:t xml:space="preserve"> gali</w:t>
      </w:r>
      <w:r w:rsidR="00D90F11">
        <w:rPr>
          <w:rFonts w:ascii="Times New Roman" w:hAnsi="Times New Roman" w:cs="Times New Roman"/>
          <w:sz w:val="24"/>
          <w:szCs w:val="28"/>
          <w:lang w:eastAsia="lt-LT"/>
        </w:rPr>
        <w:t>ma</w:t>
      </w:r>
      <w:r>
        <w:rPr>
          <w:rFonts w:ascii="Times New Roman" w:hAnsi="Times New Roman" w:cs="Times New Roman"/>
          <w:sz w:val="24"/>
          <w:szCs w:val="28"/>
          <w:lang w:eastAsia="lt-LT"/>
        </w:rPr>
        <w:t xml:space="preserve"> </w:t>
      </w:r>
      <w:r w:rsidR="00964743">
        <w:rPr>
          <w:rFonts w:ascii="Times New Roman" w:hAnsi="Times New Roman" w:cs="Times New Roman"/>
          <w:sz w:val="24"/>
          <w:szCs w:val="28"/>
          <w:lang w:eastAsia="lt-LT"/>
        </w:rPr>
        <w:t xml:space="preserve">surašyti diskusijos metu išaiškintas rizikas ant </w:t>
      </w:r>
      <w:r w:rsidR="006C492D">
        <w:rPr>
          <w:rFonts w:ascii="Times New Roman" w:hAnsi="Times New Roman" w:cs="Times New Roman"/>
          <w:sz w:val="24"/>
          <w:szCs w:val="28"/>
          <w:lang w:eastAsia="lt-LT"/>
        </w:rPr>
        <w:t>popieriaus lapo nurodant:</w:t>
      </w:r>
    </w:p>
    <w:p w:rsidR="00AE33A4" w:rsidRDefault="00375CCF" w:rsidP="005D1600">
      <w:pPr>
        <w:pStyle w:val="Sraopastraipa"/>
        <w:numPr>
          <w:ilvl w:val="2"/>
          <w:numId w:val="8"/>
        </w:numPr>
        <w:tabs>
          <w:tab w:val="left" w:pos="1134"/>
          <w:tab w:val="left" w:pos="1418"/>
          <w:tab w:val="left" w:pos="1560"/>
        </w:tabs>
        <w:ind w:left="0" w:firstLine="720"/>
        <w:jc w:val="both"/>
        <w:rPr>
          <w:rFonts w:ascii="Times New Roman" w:hAnsi="Times New Roman" w:cs="Times New Roman"/>
          <w:sz w:val="24"/>
          <w:szCs w:val="28"/>
          <w:lang w:eastAsia="lt-LT"/>
        </w:rPr>
      </w:pPr>
      <w:r>
        <w:rPr>
          <w:rFonts w:ascii="Times New Roman" w:hAnsi="Times New Roman" w:cs="Times New Roman"/>
          <w:sz w:val="24"/>
          <w:szCs w:val="28"/>
          <w:lang w:eastAsia="lt-LT"/>
        </w:rPr>
        <w:t>Padalinį</w:t>
      </w:r>
      <w:r w:rsidR="006E3388">
        <w:rPr>
          <w:rFonts w:ascii="Times New Roman" w:hAnsi="Times New Roman" w:cs="Times New Roman"/>
          <w:sz w:val="24"/>
          <w:szCs w:val="28"/>
          <w:lang w:eastAsia="lt-LT"/>
        </w:rPr>
        <w:t>, kuriame vyko diskusija</w:t>
      </w:r>
      <w:r w:rsidR="00AE33A4">
        <w:rPr>
          <w:rFonts w:ascii="Times New Roman" w:hAnsi="Times New Roman" w:cs="Times New Roman"/>
          <w:sz w:val="24"/>
          <w:szCs w:val="28"/>
          <w:lang w:eastAsia="lt-LT"/>
        </w:rPr>
        <w:t>;</w:t>
      </w:r>
    </w:p>
    <w:p w:rsidR="00AE33A4" w:rsidRDefault="003E1B43" w:rsidP="005D1600">
      <w:pPr>
        <w:pStyle w:val="Sraopastraipa"/>
        <w:numPr>
          <w:ilvl w:val="2"/>
          <w:numId w:val="8"/>
        </w:numPr>
        <w:tabs>
          <w:tab w:val="left" w:pos="1134"/>
          <w:tab w:val="left" w:pos="1418"/>
          <w:tab w:val="left" w:pos="1560"/>
        </w:tabs>
        <w:ind w:left="0" w:firstLine="720"/>
        <w:jc w:val="both"/>
        <w:rPr>
          <w:rFonts w:ascii="Times New Roman" w:hAnsi="Times New Roman" w:cs="Times New Roman"/>
          <w:sz w:val="24"/>
          <w:szCs w:val="28"/>
          <w:lang w:eastAsia="lt-LT"/>
        </w:rPr>
      </w:pPr>
      <w:r>
        <w:rPr>
          <w:rFonts w:ascii="Times New Roman" w:hAnsi="Times New Roman" w:cs="Times New Roman"/>
          <w:sz w:val="24"/>
          <w:szCs w:val="28"/>
          <w:lang w:eastAsia="lt-LT"/>
        </w:rPr>
        <w:t>Diskusijos vykimo datą</w:t>
      </w:r>
      <w:r w:rsidR="006E3388">
        <w:rPr>
          <w:rFonts w:ascii="Times New Roman" w:hAnsi="Times New Roman" w:cs="Times New Roman"/>
          <w:sz w:val="24"/>
          <w:szCs w:val="28"/>
          <w:lang w:eastAsia="lt-LT"/>
        </w:rPr>
        <w:t>;</w:t>
      </w:r>
    </w:p>
    <w:p w:rsidR="006E3388" w:rsidRDefault="006E3388" w:rsidP="005D1600">
      <w:pPr>
        <w:pStyle w:val="Sraopastraipa"/>
        <w:numPr>
          <w:ilvl w:val="2"/>
          <w:numId w:val="8"/>
        </w:numPr>
        <w:tabs>
          <w:tab w:val="left" w:pos="1134"/>
          <w:tab w:val="left" w:pos="1418"/>
          <w:tab w:val="left" w:pos="1560"/>
        </w:tabs>
        <w:ind w:left="0" w:firstLine="720"/>
        <w:jc w:val="both"/>
        <w:rPr>
          <w:rFonts w:ascii="Times New Roman" w:hAnsi="Times New Roman" w:cs="Times New Roman"/>
          <w:sz w:val="24"/>
          <w:szCs w:val="28"/>
          <w:lang w:eastAsia="lt-LT"/>
        </w:rPr>
      </w:pPr>
      <w:r>
        <w:rPr>
          <w:rFonts w:ascii="Times New Roman" w:hAnsi="Times New Roman" w:cs="Times New Roman"/>
          <w:sz w:val="24"/>
          <w:szCs w:val="28"/>
          <w:lang w:eastAsia="lt-LT"/>
        </w:rPr>
        <w:t>Įvardintus rizikos veiksn</w:t>
      </w:r>
      <w:r w:rsidR="008B1C2D">
        <w:rPr>
          <w:rFonts w:ascii="Times New Roman" w:hAnsi="Times New Roman" w:cs="Times New Roman"/>
          <w:sz w:val="24"/>
          <w:szCs w:val="28"/>
          <w:lang w:eastAsia="lt-LT"/>
        </w:rPr>
        <w:t>ius</w:t>
      </w:r>
      <w:r>
        <w:rPr>
          <w:rFonts w:ascii="Times New Roman" w:hAnsi="Times New Roman" w:cs="Times New Roman"/>
          <w:sz w:val="24"/>
          <w:szCs w:val="28"/>
          <w:lang w:eastAsia="lt-LT"/>
        </w:rPr>
        <w:t>;</w:t>
      </w:r>
    </w:p>
    <w:p w:rsidR="00AE22C9" w:rsidRPr="005F71AA" w:rsidRDefault="008B1C2D" w:rsidP="005D1600">
      <w:pPr>
        <w:pStyle w:val="Sraopastraipa"/>
        <w:numPr>
          <w:ilvl w:val="2"/>
          <w:numId w:val="8"/>
        </w:numPr>
        <w:tabs>
          <w:tab w:val="left" w:pos="1134"/>
          <w:tab w:val="left" w:pos="1418"/>
          <w:tab w:val="left" w:pos="1560"/>
        </w:tabs>
        <w:ind w:left="0" w:firstLine="720"/>
        <w:jc w:val="both"/>
        <w:rPr>
          <w:rFonts w:ascii="Times New Roman" w:hAnsi="Times New Roman" w:cs="Times New Roman"/>
          <w:sz w:val="24"/>
          <w:szCs w:val="28"/>
          <w:lang w:eastAsia="lt-LT"/>
        </w:rPr>
      </w:pPr>
      <w:r>
        <w:rPr>
          <w:rFonts w:ascii="Times New Roman" w:hAnsi="Times New Roman" w:cs="Times New Roman"/>
          <w:sz w:val="24"/>
          <w:szCs w:val="28"/>
          <w:lang w:eastAsia="lt-LT"/>
        </w:rPr>
        <w:t>Kaip įmanoma išsamesnį rizikos veiksnio apib</w:t>
      </w:r>
      <w:r w:rsidR="00E11C16">
        <w:rPr>
          <w:rFonts w:ascii="Times New Roman" w:hAnsi="Times New Roman" w:cs="Times New Roman"/>
          <w:sz w:val="24"/>
          <w:szCs w:val="28"/>
          <w:lang w:eastAsia="lt-LT"/>
        </w:rPr>
        <w:t>ūdinimą analizei</w:t>
      </w:r>
      <w:r w:rsidR="00872B2B">
        <w:rPr>
          <w:rFonts w:ascii="Times New Roman" w:hAnsi="Times New Roman" w:cs="Times New Roman"/>
          <w:sz w:val="24"/>
          <w:szCs w:val="28"/>
          <w:lang w:eastAsia="lt-LT"/>
        </w:rPr>
        <w:t xml:space="preserve"> (atsiradimo aplinkybes, </w:t>
      </w:r>
      <w:r w:rsidR="00E6367C">
        <w:rPr>
          <w:rFonts w:ascii="Times New Roman" w:hAnsi="Times New Roman" w:cs="Times New Roman"/>
          <w:sz w:val="24"/>
          <w:szCs w:val="28"/>
          <w:lang w:eastAsia="lt-LT"/>
        </w:rPr>
        <w:t>galim</w:t>
      </w:r>
      <w:r w:rsidR="00062C9E">
        <w:rPr>
          <w:rFonts w:ascii="Times New Roman" w:hAnsi="Times New Roman" w:cs="Times New Roman"/>
          <w:sz w:val="24"/>
          <w:szCs w:val="28"/>
          <w:lang w:eastAsia="lt-LT"/>
        </w:rPr>
        <w:t>a</w:t>
      </w:r>
      <w:r w:rsidR="00E6367C">
        <w:rPr>
          <w:rFonts w:ascii="Times New Roman" w:hAnsi="Times New Roman" w:cs="Times New Roman"/>
          <w:sz w:val="24"/>
          <w:szCs w:val="28"/>
          <w:lang w:eastAsia="lt-LT"/>
        </w:rPr>
        <w:t>s poveikio srit</w:t>
      </w:r>
      <w:r w:rsidR="00062C9E">
        <w:rPr>
          <w:rFonts w:ascii="Times New Roman" w:hAnsi="Times New Roman" w:cs="Times New Roman"/>
          <w:sz w:val="24"/>
          <w:szCs w:val="28"/>
          <w:lang w:eastAsia="lt-LT"/>
        </w:rPr>
        <w:t>i</w:t>
      </w:r>
      <w:r w:rsidR="00E6367C">
        <w:rPr>
          <w:rFonts w:ascii="Times New Roman" w:hAnsi="Times New Roman" w:cs="Times New Roman"/>
          <w:sz w:val="24"/>
          <w:szCs w:val="28"/>
          <w:lang w:eastAsia="lt-LT"/>
        </w:rPr>
        <w:t>s, vystymosi tendencij</w:t>
      </w:r>
      <w:r w:rsidR="00062C9E">
        <w:rPr>
          <w:rFonts w:ascii="Times New Roman" w:hAnsi="Times New Roman" w:cs="Times New Roman"/>
          <w:sz w:val="24"/>
          <w:szCs w:val="28"/>
          <w:lang w:eastAsia="lt-LT"/>
        </w:rPr>
        <w:t>a</w:t>
      </w:r>
      <w:r w:rsidR="00E6367C">
        <w:rPr>
          <w:rFonts w:ascii="Times New Roman" w:hAnsi="Times New Roman" w:cs="Times New Roman"/>
          <w:sz w:val="24"/>
          <w:szCs w:val="28"/>
          <w:lang w:eastAsia="lt-LT"/>
        </w:rPr>
        <w:t>s ir pan.)</w:t>
      </w:r>
      <w:r w:rsidR="003B3D96">
        <w:rPr>
          <w:rFonts w:ascii="Times New Roman" w:hAnsi="Times New Roman" w:cs="Times New Roman"/>
          <w:sz w:val="24"/>
          <w:szCs w:val="28"/>
          <w:lang w:eastAsia="lt-LT"/>
        </w:rPr>
        <w:t xml:space="preserve">. </w:t>
      </w:r>
    </w:p>
    <w:p w:rsidR="00277D46" w:rsidRDefault="00E01803" w:rsidP="005D1600">
      <w:pPr>
        <w:pStyle w:val="Sraopastraipa"/>
        <w:numPr>
          <w:ilvl w:val="0"/>
          <w:numId w:val="8"/>
        </w:numPr>
        <w:tabs>
          <w:tab w:val="left" w:pos="1134"/>
          <w:tab w:val="left" w:pos="1418"/>
          <w:tab w:val="left" w:pos="1560"/>
        </w:tabs>
        <w:ind w:left="0" w:firstLine="720"/>
        <w:jc w:val="both"/>
        <w:rPr>
          <w:rFonts w:ascii="Times New Roman" w:hAnsi="Times New Roman" w:cs="Times New Roman"/>
          <w:sz w:val="24"/>
          <w:szCs w:val="28"/>
          <w:lang w:eastAsia="lt-LT"/>
        </w:rPr>
      </w:pPr>
      <w:r>
        <w:rPr>
          <w:rFonts w:ascii="Times New Roman" w:hAnsi="Times New Roman" w:cs="Times New Roman"/>
          <w:sz w:val="24"/>
          <w:szCs w:val="28"/>
          <w:lang w:eastAsia="lt-LT"/>
        </w:rPr>
        <w:t xml:space="preserve">Metodikos </w:t>
      </w:r>
      <w:r w:rsidR="00277D46" w:rsidRPr="00277D46">
        <w:rPr>
          <w:rFonts w:ascii="Times New Roman" w:hAnsi="Times New Roman" w:cs="Times New Roman"/>
          <w:sz w:val="24"/>
          <w:szCs w:val="28"/>
          <w:lang w:eastAsia="lt-LT"/>
        </w:rPr>
        <w:t xml:space="preserve">2 priede pateikiami veiklos rizikos veiksnių pavyzdžiai, kurie galėtų būti naudojami nustatant </w:t>
      </w:r>
      <w:r w:rsidR="000B5CCA">
        <w:rPr>
          <w:rFonts w:ascii="Times New Roman" w:hAnsi="Times New Roman" w:cs="Times New Roman"/>
          <w:sz w:val="24"/>
          <w:szCs w:val="28"/>
          <w:lang w:eastAsia="lt-LT"/>
        </w:rPr>
        <w:t xml:space="preserve">padalinių </w:t>
      </w:r>
      <w:r w:rsidR="00277D46" w:rsidRPr="00277D46">
        <w:rPr>
          <w:rFonts w:ascii="Times New Roman" w:hAnsi="Times New Roman" w:cs="Times New Roman"/>
          <w:sz w:val="24"/>
          <w:szCs w:val="28"/>
          <w:lang w:eastAsia="lt-LT"/>
        </w:rPr>
        <w:t>veiklos rizikos veiksnius</w:t>
      </w:r>
      <w:r w:rsidR="00797259">
        <w:rPr>
          <w:rFonts w:ascii="Times New Roman" w:hAnsi="Times New Roman" w:cs="Times New Roman"/>
          <w:sz w:val="24"/>
          <w:szCs w:val="28"/>
          <w:lang w:eastAsia="lt-LT"/>
        </w:rPr>
        <w:t xml:space="preserve">. </w:t>
      </w:r>
      <w:r w:rsidR="00277D46" w:rsidRPr="00277D46">
        <w:rPr>
          <w:rFonts w:ascii="Times New Roman" w:hAnsi="Times New Roman" w:cs="Times New Roman"/>
          <w:sz w:val="24"/>
          <w:szCs w:val="28"/>
          <w:lang w:eastAsia="lt-LT"/>
        </w:rPr>
        <w:t>Pateikti pavyzdžiai nėra išsamus visų galimų rizikos veiksnių sąrašas.</w:t>
      </w:r>
    </w:p>
    <w:p w:rsidR="00F466B2" w:rsidRPr="00F466B2" w:rsidRDefault="00797259" w:rsidP="005D1600">
      <w:pPr>
        <w:pStyle w:val="Sraopastraipa"/>
        <w:numPr>
          <w:ilvl w:val="0"/>
          <w:numId w:val="8"/>
        </w:numPr>
        <w:tabs>
          <w:tab w:val="left" w:pos="1134"/>
          <w:tab w:val="left" w:pos="1418"/>
          <w:tab w:val="left" w:pos="1560"/>
        </w:tabs>
        <w:ind w:left="0" w:firstLine="720"/>
        <w:jc w:val="both"/>
        <w:rPr>
          <w:rFonts w:ascii="Times New Roman" w:hAnsi="Times New Roman" w:cs="Times New Roman"/>
          <w:sz w:val="24"/>
          <w:szCs w:val="28"/>
          <w:lang w:eastAsia="lt-LT"/>
        </w:rPr>
      </w:pPr>
      <w:r>
        <w:rPr>
          <w:rFonts w:ascii="Times New Roman" w:hAnsi="Times New Roman" w:cs="Times New Roman"/>
          <w:sz w:val="24"/>
          <w:szCs w:val="28"/>
          <w:lang w:eastAsia="lt-LT"/>
        </w:rPr>
        <w:t>Užpildytus riziko</w:t>
      </w:r>
      <w:r w:rsidR="00040AB9">
        <w:rPr>
          <w:rFonts w:ascii="Times New Roman" w:hAnsi="Times New Roman" w:cs="Times New Roman"/>
          <w:sz w:val="24"/>
          <w:szCs w:val="28"/>
          <w:lang w:eastAsia="lt-LT"/>
        </w:rPr>
        <w:t xml:space="preserve">s veiksnių (faktorių) registrus arba lapus su įvardintomis rizikomis </w:t>
      </w:r>
      <w:r w:rsidR="00046262">
        <w:rPr>
          <w:rFonts w:ascii="Times New Roman" w:hAnsi="Times New Roman" w:cs="Times New Roman"/>
          <w:sz w:val="24"/>
          <w:szCs w:val="28"/>
          <w:lang w:eastAsia="lt-LT"/>
        </w:rPr>
        <w:t xml:space="preserve">kiekvieno </w:t>
      </w:r>
      <w:r w:rsidR="001F7E03">
        <w:rPr>
          <w:rFonts w:ascii="Times New Roman" w:hAnsi="Times New Roman" w:cs="Times New Roman"/>
          <w:sz w:val="24"/>
          <w:szCs w:val="28"/>
          <w:lang w:eastAsia="lt-LT"/>
        </w:rPr>
        <w:t>padalinio</w:t>
      </w:r>
      <w:r w:rsidR="00046262">
        <w:rPr>
          <w:rFonts w:ascii="Times New Roman" w:hAnsi="Times New Roman" w:cs="Times New Roman"/>
          <w:sz w:val="24"/>
          <w:szCs w:val="28"/>
          <w:lang w:eastAsia="lt-LT"/>
        </w:rPr>
        <w:t xml:space="preserve"> diskusijas </w:t>
      </w:r>
      <w:proofErr w:type="spellStart"/>
      <w:r w:rsidR="00046262">
        <w:rPr>
          <w:rFonts w:ascii="Times New Roman" w:hAnsi="Times New Roman" w:cs="Times New Roman"/>
          <w:sz w:val="24"/>
          <w:szCs w:val="28"/>
          <w:lang w:eastAsia="lt-LT"/>
        </w:rPr>
        <w:t>moderuojant</w:t>
      </w:r>
      <w:r w:rsidR="00DA19FD">
        <w:rPr>
          <w:rFonts w:ascii="Times New Roman" w:hAnsi="Times New Roman" w:cs="Times New Roman"/>
          <w:sz w:val="24"/>
          <w:szCs w:val="28"/>
          <w:lang w:eastAsia="lt-LT"/>
        </w:rPr>
        <w:t>ys</w:t>
      </w:r>
      <w:proofErr w:type="spellEnd"/>
      <w:r w:rsidR="00DA19FD">
        <w:rPr>
          <w:rFonts w:ascii="Times New Roman" w:hAnsi="Times New Roman" w:cs="Times New Roman"/>
          <w:sz w:val="24"/>
          <w:szCs w:val="28"/>
          <w:lang w:eastAsia="lt-LT"/>
        </w:rPr>
        <w:t xml:space="preserve"> darbuotojai p</w:t>
      </w:r>
      <w:r w:rsidR="00B45BD4">
        <w:rPr>
          <w:rFonts w:ascii="Times New Roman" w:hAnsi="Times New Roman" w:cs="Times New Roman"/>
          <w:sz w:val="24"/>
          <w:szCs w:val="28"/>
          <w:lang w:eastAsia="lt-LT"/>
        </w:rPr>
        <w:t>erduoda</w:t>
      </w:r>
      <w:r w:rsidR="00DA19FD">
        <w:rPr>
          <w:rFonts w:ascii="Times New Roman" w:hAnsi="Times New Roman" w:cs="Times New Roman"/>
          <w:sz w:val="24"/>
          <w:szCs w:val="28"/>
          <w:lang w:eastAsia="lt-LT"/>
        </w:rPr>
        <w:t xml:space="preserve"> Darbo grupei rizikų </w:t>
      </w:r>
      <w:r w:rsidR="00B45BD4">
        <w:rPr>
          <w:rFonts w:ascii="Times New Roman" w:hAnsi="Times New Roman" w:cs="Times New Roman"/>
          <w:sz w:val="24"/>
          <w:szCs w:val="28"/>
          <w:lang w:eastAsia="lt-LT"/>
        </w:rPr>
        <w:t xml:space="preserve">vertinimui ir </w:t>
      </w:r>
      <w:r w:rsidR="00A671A6">
        <w:rPr>
          <w:rFonts w:ascii="Times New Roman" w:hAnsi="Times New Roman" w:cs="Times New Roman"/>
          <w:sz w:val="24"/>
          <w:szCs w:val="28"/>
          <w:lang w:eastAsia="lt-LT"/>
        </w:rPr>
        <w:t>valdymo priemonių</w:t>
      </w:r>
      <w:r w:rsidR="001465C3">
        <w:rPr>
          <w:rFonts w:ascii="Times New Roman" w:hAnsi="Times New Roman" w:cs="Times New Roman"/>
          <w:sz w:val="24"/>
          <w:szCs w:val="28"/>
          <w:lang w:eastAsia="lt-LT"/>
        </w:rPr>
        <w:t xml:space="preserve"> nustatymui</w:t>
      </w:r>
      <w:r w:rsidR="000B5CCA">
        <w:rPr>
          <w:rFonts w:ascii="Times New Roman" w:hAnsi="Times New Roman" w:cs="Times New Roman"/>
          <w:sz w:val="24"/>
          <w:szCs w:val="28"/>
          <w:lang w:eastAsia="lt-LT"/>
        </w:rPr>
        <w:t>.</w:t>
      </w:r>
    </w:p>
    <w:p w:rsidR="005D1600" w:rsidRDefault="005D1600" w:rsidP="00B45BD4">
      <w:pPr>
        <w:jc w:val="center"/>
        <w:rPr>
          <w:b/>
          <w:bCs/>
          <w:szCs w:val="28"/>
          <w:lang w:eastAsia="lt-LT"/>
        </w:rPr>
      </w:pPr>
    </w:p>
    <w:p w:rsidR="00F466B2" w:rsidRDefault="00F466B2" w:rsidP="00B45BD4">
      <w:pPr>
        <w:jc w:val="center"/>
        <w:rPr>
          <w:b/>
          <w:bCs/>
          <w:szCs w:val="28"/>
          <w:lang w:eastAsia="lt-LT"/>
        </w:rPr>
      </w:pPr>
      <w:r>
        <w:rPr>
          <w:b/>
          <w:bCs/>
          <w:szCs w:val="28"/>
          <w:lang w:eastAsia="lt-LT"/>
        </w:rPr>
        <w:t>IV SKYRIUS</w:t>
      </w:r>
    </w:p>
    <w:p w:rsidR="00B45BD4" w:rsidRDefault="00A671A6" w:rsidP="00B45BD4">
      <w:pPr>
        <w:jc w:val="center"/>
        <w:rPr>
          <w:b/>
          <w:bCs/>
          <w:szCs w:val="28"/>
          <w:lang w:eastAsia="lt-LT"/>
        </w:rPr>
      </w:pPr>
      <w:r>
        <w:rPr>
          <w:b/>
          <w:bCs/>
          <w:szCs w:val="28"/>
          <w:lang w:eastAsia="lt-LT"/>
        </w:rPr>
        <w:t>RIZIKŲ VERTINIMAS</w:t>
      </w:r>
    </w:p>
    <w:p w:rsidR="00F466B2" w:rsidRPr="00A671A6" w:rsidRDefault="00F466B2" w:rsidP="00B45BD4">
      <w:pPr>
        <w:jc w:val="center"/>
        <w:rPr>
          <w:szCs w:val="28"/>
          <w:lang w:eastAsia="lt-LT"/>
        </w:rPr>
      </w:pPr>
    </w:p>
    <w:p w:rsidR="008903BE" w:rsidRDefault="00B8034F" w:rsidP="00047ABA">
      <w:pPr>
        <w:pStyle w:val="Sraopastraipa"/>
        <w:numPr>
          <w:ilvl w:val="0"/>
          <w:numId w:val="8"/>
        </w:numPr>
        <w:ind w:left="0" w:firstLine="720"/>
        <w:jc w:val="both"/>
        <w:rPr>
          <w:rFonts w:ascii="Times New Roman" w:hAnsi="Times New Roman" w:cs="Times New Roman"/>
          <w:sz w:val="24"/>
          <w:szCs w:val="32"/>
          <w:lang w:eastAsia="lt-LT"/>
        </w:rPr>
      </w:pPr>
      <w:r>
        <w:rPr>
          <w:rFonts w:ascii="Times New Roman" w:hAnsi="Times New Roman" w:cs="Times New Roman"/>
          <w:sz w:val="24"/>
          <w:szCs w:val="32"/>
          <w:lang w:eastAsia="lt-LT"/>
        </w:rPr>
        <w:t xml:space="preserve">Darbo grupė </w:t>
      </w:r>
      <w:r w:rsidR="00EB3D82">
        <w:rPr>
          <w:rFonts w:ascii="Times New Roman" w:hAnsi="Times New Roman" w:cs="Times New Roman"/>
          <w:sz w:val="24"/>
          <w:szCs w:val="32"/>
          <w:lang w:eastAsia="lt-LT"/>
        </w:rPr>
        <w:t xml:space="preserve">pagal </w:t>
      </w:r>
      <w:r>
        <w:rPr>
          <w:rFonts w:ascii="Times New Roman" w:hAnsi="Times New Roman" w:cs="Times New Roman"/>
          <w:sz w:val="24"/>
          <w:szCs w:val="32"/>
          <w:lang w:eastAsia="lt-LT"/>
        </w:rPr>
        <w:t>gautus užpildyt</w:t>
      </w:r>
      <w:r w:rsidR="00F466B2">
        <w:rPr>
          <w:rFonts w:ascii="Times New Roman" w:hAnsi="Times New Roman" w:cs="Times New Roman"/>
          <w:sz w:val="24"/>
          <w:szCs w:val="32"/>
          <w:lang w:eastAsia="lt-LT"/>
        </w:rPr>
        <w:t>ų</w:t>
      </w:r>
      <w:r>
        <w:rPr>
          <w:rFonts w:ascii="Times New Roman" w:hAnsi="Times New Roman" w:cs="Times New Roman"/>
          <w:sz w:val="24"/>
          <w:szCs w:val="32"/>
          <w:lang w:eastAsia="lt-LT"/>
        </w:rPr>
        <w:t xml:space="preserve"> rizikos veiksnių (faktorių) registrus arba lap</w:t>
      </w:r>
      <w:r w:rsidR="00353737">
        <w:rPr>
          <w:rFonts w:ascii="Times New Roman" w:hAnsi="Times New Roman" w:cs="Times New Roman"/>
          <w:sz w:val="24"/>
          <w:szCs w:val="32"/>
          <w:lang w:eastAsia="lt-LT"/>
        </w:rPr>
        <w:t>ų</w:t>
      </w:r>
      <w:r>
        <w:rPr>
          <w:rFonts w:ascii="Times New Roman" w:hAnsi="Times New Roman" w:cs="Times New Roman"/>
          <w:sz w:val="24"/>
          <w:szCs w:val="32"/>
          <w:lang w:eastAsia="lt-LT"/>
        </w:rPr>
        <w:t xml:space="preserve"> su įvardintomis riz</w:t>
      </w:r>
      <w:r w:rsidR="00EB3D82">
        <w:rPr>
          <w:rFonts w:ascii="Times New Roman" w:hAnsi="Times New Roman" w:cs="Times New Roman"/>
          <w:sz w:val="24"/>
          <w:szCs w:val="32"/>
          <w:lang w:eastAsia="lt-LT"/>
        </w:rPr>
        <w:t xml:space="preserve">ikomis </w:t>
      </w:r>
      <w:r w:rsidR="00910E09">
        <w:rPr>
          <w:rFonts w:ascii="Times New Roman" w:hAnsi="Times New Roman" w:cs="Times New Roman"/>
          <w:sz w:val="24"/>
          <w:szCs w:val="32"/>
          <w:lang w:eastAsia="lt-LT"/>
        </w:rPr>
        <w:t xml:space="preserve">sudaro bendrą Administracijos rizikos veiksnių (faktorių) registrą </w:t>
      </w:r>
      <w:r w:rsidR="00F72BF2">
        <w:rPr>
          <w:rFonts w:ascii="Times New Roman" w:hAnsi="Times New Roman" w:cs="Times New Roman"/>
          <w:sz w:val="24"/>
          <w:szCs w:val="32"/>
          <w:lang w:eastAsia="lt-LT"/>
        </w:rPr>
        <w:t xml:space="preserve">prieš </w:t>
      </w:r>
      <w:r w:rsidR="0096077A">
        <w:rPr>
          <w:rFonts w:ascii="Times New Roman" w:hAnsi="Times New Roman" w:cs="Times New Roman"/>
          <w:sz w:val="24"/>
          <w:szCs w:val="32"/>
          <w:lang w:eastAsia="lt-LT"/>
        </w:rPr>
        <w:t xml:space="preserve">atliekant </w:t>
      </w:r>
      <w:r w:rsidR="00F72BF2">
        <w:rPr>
          <w:rFonts w:ascii="Times New Roman" w:hAnsi="Times New Roman" w:cs="Times New Roman"/>
          <w:sz w:val="24"/>
          <w:szCs w:val="32"/>
          <w:lang w:eastAsia="lt-LT"/>
        </w:rPr>
        <w:t>vertinimą</w:t>
      </w:r>
      <w:r w:rsidR="000B5CCA">
        <w:rPr>
          <w:rFonts w:ascii="Times New Roman" w:hAnsi="Times New Roman" w:cs="Times New Roman"/>
          <w:sz w:val="24"/>
          <w:szCs w:val="32"/>
          <w:lang w:eastAsia="lt-LT"/>
        </w:rPr>
        <w:t xml:space="preserve">. </w:t>
      </w:r>
    </w:p>
    <w:p w:rsidR="00A671A6" w:rsidRDefault="003D7292" w:rsidP="00047ABA">
      <w:pPr>
        <w:pStyle w:val="Sraopastraipa"/>
        <w:numPr>
          <w:ilvl w:val="0"/>
          <w:numId w:val="8"/>
        </w:numPr>
        <w:ind w:left="0" w:firstLine="720"/>
        <w:jc w:val="both"/>
        <w:rPr>
          <w:rFonts w:ascii="Times New Roman" w:hAnsi="Times New Roman" w:cs="Times New Roman"/>
          <w:sz w:val="24"/>
          <w:szCs w:val="32"/>
          <w:lang w:eastAsia="lt-LT"/>
        </w:rPr>
      </w:pPr>
      <w:r w:rsidRPr="003D7292">
        <w:rPr>
          <w:rFonts w:ascii="Times New Roman" w:hAnsi="Times New Roman" w:cs="Times New Roman"/>
          <w:sz w:val="24"/>
          <w:szCs w:val="32"/>
          <w:lang w:eastAsia="lt-LT"/>
        </w:rPr>
        <w:t xml:space="preserve">Rizikos veiksnių vertinimo metu nustatoma, kokia apimtimi identifikuoti įvykiai ir susiję rizikos veiksniai gali daryti įtaką </w:t>
      </w:r>
      <w:r w:rsidR="0096077A">
        <w:rPr>
          <w:rFonts w:ascii="Times New Roman" w:hAnsi="Times New Roman" w:cs="Times New Roman"/>
          <w:sz w:val="24"/>
          <w:szCs w:val="32"/>
          <w:lang w:eastAsia="lt-LT"/>
        </w:rPr>
        <w:t xml:space="preserve">Administracijos </w:t>
      </w:r>
      <w:r w:rsidRPr="003D7292">
        <w:rPr>
          <w:rFonts w:ascii="Times New Roman" w:hAnsi="Times New Roman" w:cs="Times New Roman"/>
          <w:sz w:val="24"/>
          <w:szCs w:val="32"/>
          <w:lang w:eastAsia="lt-LT"/>
        </w:rPr>
        <w:t>veiklos tikslų siekimui. Rizikos vertinamos dviem atžvilgiais – tikimybės ir poveikio, naudojant kokybinių ir kiekybinių metodų kombinaciją. Vadovaujantis gauta informacija, parenkamos optimalios rizikos valdymo priemonės</w:t>
      </w:r>
      <w:r w:rsidR="000D3D00">
        <w:rPr>
          <w:rFonts w:ascii="Times New Roman" w:hAnsi="Times New Roman" w:cs="Times New Roman"/>
          <w:sz w:val="24"/>
          <w:szCs w:val="32"/>
          <w:lang w:eastAsia="lt-LT"/>
        </w:rPr>
        <w:t>.</w:t>
      </w:r>
      <w:r w:rsidR="000B5CCA">
        <w:rPr>
          <w:rFonts w:ascii="Times New Roman" w:hAnsi="Times New Roman" w:cs="Times New Roman"/>
          <w:sz w:val="24"/>
          <w:szCs w:val="32"/>
          <w:lang w:eastAsia="lt-LT"/>
        </w:rPr>
        <w:t xml:space="preserve"> </w:t>
      </w:r>
    </w:p>
    <w:p w:rsidR="00C24A55" w:rsidRDefault="00067679" w:rsidP="00047ABA">
      <w:pPr>
        <w:pStyle w:val="Sraopastraipa"/>
        <w:numPr>
          <w:ilvl w:val="0"/>
          <w:numId w:val="8"/>
        </w:numPr>
        <w:ind w:left="0" w:firstLine="720"/>
        <w:jc w:val="both"/>
        <w:rPr>
          <w:rFonts w:ascii="Times New Roman" w:hAnsi="Times New Roman" w:cs="Times New Roman"/>
          <w:sz w:val="24"/>
          <w:szCs w:val="32"/>
          <w:lang w:eastAsia="lt-LT"/>
        </w:rPr>
      </w:pPr>
      <w:r>
        <w:rPr>
          <w:rFonts w:ascii="Times New Roman" w:hAnsi="Times New Roman" w:cs="Times New Roman"/>
          <w:sz w:val="24"/>
          <w:szCs w:val="32"/>
          <w:lang w:eastAsia="lt-LT"/>
        </w:rPr>
        <w:t>Administracijos</w:t>
      </w:r>
      <w:r w:rsidR="00A5544A" w:rsidRPr="00A5544A">
        <w:rPr>
          <w:rFonts w:ascii="Times New Roman" w:hAnsi="Times New Roman" w:cs="Times New Roman"/>
          <w:sz w:val="24"/>
          <w:szCs w:val="32"/>
          <w:lang w:eastAsia="lt-LT"/>
        </w:rPr>
        <w:t xml:space="preserve"> veiklos rizika vertinama naudojantis kokybinio vertinimo kriterijais pagal nustatytą rizikos vertinimo skalę (</w:t>
      </w:r>
      <w:r>
        <w:rPr>
          <w:rFonts w:ascii="Times New Roman" w:hAnsi="Times New Roman" w:cs="Times New Roman"/>
          <w:sz w:val="24"/>
          <w:szCs w:val="32"/>
          <w:lang w:eastAsia="lt-LT"/>
        </w:rPr>
        <w:t>žr.</w:t>
      </w:r>
      <w:r w:rsidR="00A5544A" w:rsidRPr="00A5544A">
        <w:rPr>
          <w:rFonts w:ascii="Times New Roman" w:hAnsi="Times New Roman" w:cs="Times New Roman"/>
          <w:sz w:val="24"/>
          <w:szCs w:val="32"/>
          <w:lang w:eastAsia="lt-LT"/>
        </w:rPr>
        <w:t xml:space="preserve"> 3 pried</w:t>
      </w:r>
      <w:r>
        <w:rPr>
          <w:rFonts w:ascii="Times New Roman" w:hAnsi="Times New Roman" w:cs="Times New Roman"/>
          <w:sz w:val="24"/>
          <w:szCs w:val="32"/>
          <w:lang w:eastAsia="lt-LT"/>
        </w:rPr>
        <w:t>ą</w:t>
      </w:r>
      <w:r w:rsidR="00A5544A" w:rsidRPr="00A5544A">
        <w:rPr>
          <w:rFonts w:ascii="Times New Roman" w:hAnsi="Times New Roman" w:cs="Times New Roman"/>
          <w:sz w:val="24"/>
          <w:szCs w:val="32"/>
          <w:lang w:eastAsia="lt-LT"/>
        </w:rPr>
        <w:t>). Kokybinis vertinimas taikomas tais atvejais, kai tikslus rizikos veiksnių nustatymas yra beveik įmanomas dėl sudėtingų procesų, didelio rizikos faktorių skaičiaus arba kai galimybės surinkti duomenis, reikalingus kiekybiniam vertinimui, yra ribotos, jų gavimas ir analizė pernelyg sudėtingi.</w:t>
      </w:r>
    </w:p>
    <w:p w:rsidR="00E874E6" w:rsidRPr="004172CC" w:rsidRDefault="00C95E14" w:rsidP="00047ABA">
      <w:pPr>
        <w:pStyle w:val="Sraopastraipa"/>
        <w:numPr>
          <w:ilvl w:val="0"/>
          <w:numId w:val="8"/>
        </w:numPr>
        <w:ind w:left="0" w:firstLine="720"/>
        <w:jc w:val="both"/>
        <w:rPr>
          <w:rFonts w:ascii="Times New Roman" w:hAnsi="Times New Roman" w:cs="Times New Roman"/>
          <w:sz w:val="24"/>
          <w:szCs w:val="24"/>
          <w:lang w:eastAsia="lt-LT"/>
        </w:rPr>
      </w:pPr>
      <w:r w:rsidRPr="00C24A55">
        <w:rPr>
          <w:rFonts w:ascii="Times New Roman" w:hAnsi="Times New Roman" w:cs="Times New Roman"/>
          <w:sz w:val="24"/>
          <w:szCs w:val="24"/>
        </w:rPr>
        <w:t>Rizikos tikimybė vertinama vadovaujantis toliau nurodyt</w:t>
      </w:r>
      <w:r w:rsidR="00375CCF">
        <w:rPr>
          <w:rFonts w:ascii="Times New Roman" w:hAnsi="Times New Roman" w:cs="Times New Roman"/>
          <w:sz w:val="24"/>
          <w:szCs w:val="24"/>
        </w:rPr>
        <w:t>u</w:t>
      </w:r>
      <w:r w:rsidRPr="00C24A55">
        <w:rPr>
          <w:rFonts w:ascii="Times New Roman" w:hAnsi="Times New Roman" w:cs="Times New Roman"/>
          <w:sz w:val="24"/>
          <w:szCs w:val="24"/>
        </w:rPr>
        <w:t xml:space="preserve"> būd</w:t>
      </w:r>
      <w:r w:rsidR="00375CCF">
        <w:rPr>
          <w:rFonts w:ascii="Times New Roman" w:hAnsi="Times New Roman" w:cs="Times New Roman"/>
          <w:sz w:val="24"/>
          <w:szCs w:val="24"/>
        </w:rPr>
        <w:t>u atsižvelgiant į tikimybę:</w:t>
      </w:r>
    </w:p>
    <w:p w:rsidR="00E874E6" w:rsidRPr="004172CC" w:rsidRDefault="00E874E6" w:rsidP="009553B8">
      <w:pPr>
        <w:pStyle w:val="Sraopastraipa"/>
        <w:numPr>
          <w:ilvl w:val="1"/>
          <w:numId w:val="8"/>
        </w:numPr>
        <w:ind w:left="0" w:firstLine="720"/>
        <w:jc w:val="both"/>
        <w:rPr>
          <w:rFonts w:ascii="Times New Roman" w:hAnsi="Times New Roman" w:cs="Times New Roman"/>
          <w:sz w:val="24"/>
          <w:szCs w:val="24"/>
          <w:lang w:eastAsia="lt-LT"/>
        </w:rPr>
      </w:pPr>
      <w:r w:rsidRPr="004172CC">
        <w:rPr>
          <w:rFonts w:ascii="Times New Roman" w:hAnsi="Times New Roman" w:cs="Times New Roman"/>
          <w:sz w:val="24"/>
          <w:szCs w:val="24"/>
        </w:rPr>
        <w:t xml:space="preserve"> </w:t>
      </w:r>
      <w:r w:rsidR="00C95E14" w:rsidRPr="004172CC">
        <w:rPr>
          <w:rFonts w:ascii="Times New Roman" w:hAnsi="Times New Roman" w:cs="Times New Roman"/>
          <w:sz w:val="24"/>
          <w:szCs w:val="24"/>
        </w:rPr>
        <w:t>įvykio tikimybė per vienerius metus (tęstiniai rizikos veiksniai arba rizikos veiksniai, kurie pasireiškia kaip pavieniai įvykiai);</w:t>
      </w:r>
    </w:p>
    <w:p w:rsidR="00A96297" w:rsidRPr="004172CC" w:rsidRDefault="00E874E6" w:rsidP="009553B8">
      <w:pPr>
        <w:pStyle w:val="Sraopastraipa"/>
        <w:numPr>
          <w:ilvl w:val="1"/>
          <w:numId w:val="8"/>
        </w:numPr>
        <w:ind w:left="0" w:firstLine="720"/>
        <w:jc w:val="both"/>
        <w:rPr>
          <w:rFonts w:ascii="Times New Roman" w:hAnsi="Times New Roman" w:cs="Times New Roman"/>
          <w:sz w:val="24"/>
          <w:szCs w:val="24"/>
          <w:lang w:eastAsia="lt-LT"/>
        </w:rPr>
      </w:pPr>
      <w:r w:rsidRPr="004172CC">
        <w:rPr>
          <w:rFonts w:ascii="Times New Roman" w:hAnsi="Times New Roman" w:cs="Times New Roman"/>
          <w:sz w:val="24"/>
          <w:szCs w:val="24"/>
        </w:rPr>
        <w:t xml:space="preserve"> </w:t>
      </w:r>
      <w:r w:rsidR="00C95E14" w:rsidRPr="004172CC">
        <w:rPr>
          <w:rFonts w:ascii="Times New Roman" w:hAnsi="Times New Roman" w:cs="Times New Roman"/>
          <w:sz w:val="24"/>
          <w:szCs w:val="24"/>
        </w:rPr>
        <w:t>įvykio pasikartojimo per vienerius metus dažnumas (pasikartojantys įvykiai).</w:t>
      </w:r>
    </w:p>
    <w:p w:rsidR="004172CC" w:rsidRPr="004172CC" w:rsidRDefault="00C95E14" w:rsidP="009553B8">
      <w:pPr>
        <w:pStyle w:val="Sraopastraipa"/>
        <w:numPr>
          <w:ilvl w:val="0"/>
          <w:numId w:val="8"/>
        </w:numPr>
        <w:ind w:left="0" w:firstLine="720"/>
        <w:jc w:val="both"/>
        <w:rPr>
          <w:rFonts w:ascii="Times New Roman" w:hAnsi="Times New Roman" w:cs="Times New Roman"/>
          <w:sz w:val="24"/>
          <w:szCs w:val="24"/>
          <w:lang w:eastAsia="lt-LT"/>
        </w:rPr>
      </w:pPr>
      <w:r w:rsidRPr="004172CC">
        <w:rPr>
          <w:rFonts w:ascii="Times New Roman" w:hAnsi="Times New Roman" w:cs="Times New Roman"/>
          <w:sz w:val="24"/>
          <w:szCs w:val="24"/>
        </w:rPr>
        <w:t>Tikimybė įvertinama eksperimentiniu būdu, vadovaujantis patirtimi (įvykę įvykiai panašūs) ir atsižvelgiant į naujų ar numatomų aplinkybių įtaką vertinamos rizikos pasireiškimo tikimybei. Toliau pateikiama rizikos tikimybės vertinimo skalė:</w:t>
      </w:r>
    </w:p>
    <w:p w:rsidR="004172CC" w:rsidRPr="004172CC" w:rsidRDefault="00C95E14" w:rsidP="009553B8">
      <w:pPr>
        <w:pStyle w:val="Sraopastraipa"/>
        <w:numPr>
          <w:ilvl w:val="1"/>
          <w:numId w:val="8"/>
        </w:numPr>
        <w:ind w:left="0" w:firstLine="720"/>
        <w:jc w:val="both"/>
        <w:rPr>
          <w:rFonts w:ascii="Times New Roman" w:hAnsi="Times New Roman" w:cs="Times New Roman"/>
          <w:sz w:val="24"/>
          <w:szCs w:val="24"/>
          <w:lang w:eastAsia="lt-LT"/>
        </w:rPr>
      </w:pPr>
      <w:r w:rsidRPr="004172CC">
        <w:rPr>
          <w:rFonts w:ascii="Times New Roman" w:hAnsi="Times New Roman" w:cs="Times New Roman"/>
          <w:b/>
          <w:bCs/>
          <w:sz w:val="24"/>
          <w:szCs w:val="24"/>
        </w:rPr>
        <w:t>labai tikėtina tikimybė</w:t>
      </w:r>
      <w:r w:rsidRPr="004172CC">
        <w:rPr>
          <w:rFonts w:ascii="Times New Roman" w:hAnsi="Times New Roman" w:cs="Times New Roman"/>
          <w:sz w:val="24"/>
          <w:szCs w:val="24"/>
        </w:rPr>
        <w:t xml:space="preserve"> – tikimybė, kad įvykis įvyks per ateinančius metus ar vertinimo laikotarpį yra didelė (50–100 %);</w:t>
      </w:r>
    </w:p>
    <w:p w:rsidR="004172CC" w:rsidRPr="004172CC" w:rsidRDefault="00C95E14" w:rsidP="009553B8">
      <w:pPr>
        <w:pStyle w:val="Sraopastraipa"/>
        <w:numPr>
          <w:ilvl w:val="1"/>
          <w:numId w:val="8"/>
        </w:numPr>
        <w:ind w:left="0" w:firstLine="720"/>
        <w:jc w:val="both"/>
        <w:rPr>
          <w:rFonts w:ascii="Times New Roman" w:hAnsi="Times New Roman" w:cs="Times New Roman"/>
          <w:sz w:val="24"/>
          <w:szCs w:val="24"/>
          <w:lang w:eastAsia="lt-LT"/>
        </w:rPr>
      </w:pPr>
      <w:r w:rsidRPr="004172CC">
        <w:rPr>
          <w:rFonts w:ascii="Times New Roman" w:hAnsi="Times New Roman" w:cs="Times New Roman"/>
          <w:b/>
          <w:bCs/>
          <w:sz w:val="24"/>
          <w:szCs w:val="24"/>
        </w:rPr>
        <w:t>gana tikėtina tikimybė</w:t>
      </w:r>
      <w:r w:rsidRPr="004172CC">
        <w:rPr>
          <w:rFonts w:ascii="Times New Roman" w:hAnsi="Times New Roman" w:cs="Times New Roman"/>
          <w:sz w:val="24"/>
          <w:szCs w:val="24"/>
        </w:rPr>
        <w:t xml:space="preserve"> – tikimybė, kad įvykis įvyks per ateinančius metus ar vertinimo laikotarpį, vertinama kaip pakankamai reali (20–50 %);</w:t>
      </w:r>
    </w:p>
    <w:p w:rsidR="004172CC" w:rsidRPr="004172CC" w:rsidRDefault="00C95E14" w:rsidP="009553B8">
      <w:pPr>
        <w:pStyle w:val="Sraopastraipa"/>
        <w:numPr>
          <w:ilvl w:val="1"/>
          <w:numId w:val="8"/>
        </w:numPr>
        <w:ind w:left="0" w:firstLine="720"/>
        <w:jc w:val="both"/>
        <w:rPr>
          <w:rFonts w:ascii="Times New Roman" w:hAnsi="Times New Roman" w:cs="Times New Roman"/>
          <w:sz w:val="24"/>
          <w:szCs w:val="24"/>
          <w:lang w:eastAsia="lt-LT"/>
        </w:rPr>
      </w:pPr>
      <w:r w:rsidRPr="004172CC">
        <w:rPr>
          <w:rFonts w:ascii="Times New Roman" w:hAnsi="Times New Roman" w:cs="Times New Roman"/>
          <w:b/>
          <w:bCs/>
          <w:sz w:val="24"/>
          <w:szCs w:val="24"/>
        </w:rPr>
        <w:t>tikėtina tikimybė</w:t>
      </w:r>
      <w:r w:rsidRPr="004172CC">
        <w:rPr>
          <w:rFonts w:ascii="Times New Roman" w:hAnsi="Times New Roman" w:cs="Times New Roman"/>
          <w:sz w:val="24"/>
          <w:szCs w:val="24"/>
        </w:rPr>
        <w:t xml:space="preserve"> – tikimybė, kad įvykis gali įvykti per ateinančius metus ar vertinimo laikotarpį (10–20 %);</w:t>
      </w:r>
    </w:p>
    <w:p w:rsidR="004172CC" w:rsidRPr="004172CC" w:rsidRDefault="00C95E14" w:rsidP="009553B8">
      <w:pPr>
        <w:pStyle w:val="Sraopastraipa"/>
        <w:numPr>
          <w:ilvl w:val="1"/>
          <w:numId w:val="8"/>
        </w:numPr>
        <w:ind w:left="0" w:firstLine="720"/>
        <w:jc w:val="both"/>
        <w:rPr>
          <w:rFonts w:ascii="Times New Roman" w:hAnsi="Times New Roman" w:cs="Times New Roman"/>
          <w:sz w:val="24"/>
          <w:szCs w:val="24"/>
          <w:lang w:eastAsia="lt-LT"/>
        </w:rPr>
      </w:pPr>
      <w:r w:rsidRPr="004172CC">
        <w:rPr>
          <w:rFonts w:ascii="Times New Roman" w:hAnsi="Times New Roman" w:cs="Times New Roman"/>
          <w:b/>
          <w:bCs/>
          <w:spacing w:val="-4"/>
          <w:sz w:val="24"/>
          <w:szCs w:val="24"/>
        </w:rPr>
        <w:t>nelabai tikėtina tikimybė</w:t>
      </w:r>
      <w:r w:rsidRPr="004172CC">
        <w:rPr>
          <w:rFonts w:ascii="Times New Roman" w:hAnsi="Times New Roman" w:cs="Times New Roman"/>
          <w:spacing w:val="-4"/>
          <w:sz w:val="24"/>
          <w:szCs w:val="24"/>
        </w:rPr>
        <w:t xml:space="preserve"> – tikimybė, kad įvykis įmanomas, tačiau nelabai tikėtinas (1–10 %);</w:t>
      </w:r>
    </w:p>
    <w:p w:rsidR="002A3F1F" w:rsidRDefault="00C95E14" w:rsidP="009553B8">
      <w:pPr>
        <w:pStyle w:val="Sraopastraipa"/>
        <w:numPr>
          <w:ilvl w:val="1"/>
          <w:numId w:val="8"/>
        </w:numPr>
        <w:ind w:left="0" w:firstLine="720"/>
        <w:jc w:val="both"/>
        <w:rPr>
          <w:rFonts w:ascii="Times New Roman" w:hAnsi="Times New Roman" w:cs="Times New Roman"/>
          <w:sz w:val="24"/>
          <w:szCs w:val="24"/>
          <w:lang w:eastAsia="lt-LT"/>
        </w:rPr>
      </w:pPr>
      <w:r w:rsidRPr="004172CC">
        <w:rPr>
          <w:rFonts w:ascii="Times New Roman" w:hAnsi="Times New Roman" w:cs="Times New Roman"/>
          <w:b/>
          <w:bCs/>
          <w:sz w:val="24"/>
          <w:szCs w:val="24"/>
        </w:rPr>
        <w:t>mažai tikėtina tikimybė</w:t>
      </w:r>
      <w:r w:rsidRPr="004172CC">
        <w:rPr>
          <w:rFonts w:ascii="Times New Roman" w:hAnsi="Times New Roman" w:cs="Times New Roman"/>
          <w:sz w:val="24"/>
          <w:szCs w:val="24"/>
        </w:rPr>
        <w:t xml:space="preserve"> – tokia tikimybė, kai numatoma, kad įvykis įvyks per ateinančius metus ar vertinimo laikotarpį (mažiau nei 1 %).</w:t>
      </w:r>
    </w:p>
    <w:p w:rsidR="00887677" w:rsidRPr="00D67FC7" w:rsidRDefault="002A3F1F" w:rsidP="009553B8">
      <w:pPr>
        <w:pStyle w:val="Sraopastraipa"/>
        <w:numPr>
          <w:ilvl w:val="0"/>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sz w:val="24"/>
          <w:szCs w:val="24"/>
        </w:rPr>
        <w:t xml:space="preserve">Siekiant kompleksiškai įvertinti rizikos poveikį, būtina apsvarstyti įvairias poveikio sritis – poveikį </w:t>
      </w:r>
      <w:r w:rsidR="00887677" w:rsidRPr="00D67FC7">
        <w:rPr>
          <w:rFonts w:ascii="Times New Roman" w:hAnsi="Times New Roman" w:cs="Times New Roman"/>
          <w:sz w:val="24"/>
          <w:szCs w:val="24"/>
        </w:rPr>
        <w:t>Administracijos</w:t>
      </w:r>
      <w:r w:rsidRPr="00D67FC7">
        <w:rPr>
          <w:rFonts w:ascii="Times New Roman" w:hAnsi="Times New Roman" w:cs="Times New Roman"/>
          <w:sz w:val="24"/>
          <w:szCs w:val="24"/>
        </w:rPr>
        <w:t xml:space="preserve"> ištekliams, įsipareigojimams įvairioms suinteresuotoms šalims vykdyti, reputacijai, veiklos efektyvumui, procesų kokybei, informacijos, valstybės tarnautojų ir darbuotojų saugumui ir kt. Bendruoju atveju turėtų būti apsvarstytos šios sritys:</w:t>
      </w:r>
    </w:p>
    <w:p w:rsidR="00887677" w:rsidRPr="00D67FC7" w:rsidRDefault="00047ABA" w:rsidP="009553B8">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sz w:val="24"/>
          <w:szCs w:val="24"/>
        </w:rPr>
        <w:t xml:space="preserve"> </w:t>
      </w:r>
      <w:r w:rsidR="002A3F1F" w:rsidRPr="00D67FC7">
        <w:rPr>
          <w:rFonts w:ascii="Times New Roman" w:hAnsi="Times New Roman" w:cs="Times New Roman"/>
          <w:sz w:val="24"/>
          <w:szCs w:val="24"/>
        </w:rPr>
        <w:t xml:space="preserve">poveikis personalui (motyvacija, moralė, etikos normų laikymasis, socialinis klimatas </w:t>
      </w:r>
      <w:r w:rsidRPr="00D67FC7">
        <w:rPr>
          <w:rFonts w:ascii="Times New Roman" w:hAnsi="Times New Roman" w:cs="Times New Roman"/>
          <w:sz w:val="24"/>
          <w:szCs w:val="24"/>
        </w:rPr>
        <w:t>Administracijoje</w:t>
      </w:r>
      <w:r w:rsidR="002A3F1F" w:rsidRPr="00D67FC7">
        <w:rPr>
          <w:rFonts w:ascii="Times New Roman" w:hAnsi="Times New Roman" w:cs="Times New Roman"/>
          <w:sz w:val="24"/>
          <w:szCs w:val="24"/>
        </w:rPr>
        <w:t>, saugumas, darbingumas ir kt.);</w:t>
      </w:r>
    </w:p>
    <w:p w:rsidR="003B32B6" w:rsidRPr="00D67FC7" w:rsidRDefault="00047ABA" w:rsidP="009553B8">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sz w:val="24"/>
          <w:szCs w:val="24"/>
        </w:rPr>
        <w:t xml:space="preserve"> </w:t>
      </w:r>
      <w:r w:rsidR="002A3F1F" w:rsidRPr="00D67FC7">
        <w:rPr>
          <w:rFonts w:ascii="Times New Roman" w:hAnsi="Times New Roman" w:cs="Times New Roman"/>
          <w:sz w:val="24"/>
          <w:szCs w:val="24"/>
        </w:rPr>
        <w:t>finansinis poveikis (padidėjusios veiklos sąnaudos, biudžeto nevykdymas, neefektyvus ar nepagrįstas lėšų panaudojimas);</w:t>
      </w:r>
    </w:p>
    <w:p w:rsidR="003B32B6" w:rsidRPr="00D67FC7" w:rsidRDefault="00047ABA" w:rsidP="009553B8">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sz w:val="24"/>
          <w:szCs w:val="24"/>
        </w:rPr>
        <w:t xml:space="preserve"> </w:t>
      </w:r>
      <w:r w:rsidR="002A3F1F" w:rsidRPr="00D67FC7">
        <w:rPr>
          <w:rFonts w:ascii="Times New Roman" w:hAnsi="Times New Roman" w:cs="Times New Roman"/>
          <w:sz w:val="24"/>
          <w:szCs w:val="24"/>
        </w:rPr>
        <w:t>poveikis įvaizdžiui ir reputacijai (neigiamas įvaizdis visuomenės akyse, žiniasklaidos atsiliepimai);</w:t>
      </w:r>
    </w:p>
    <w:p w:rsidR="003B32B6" w:rsidRPr="00D67FC7" w:rsidRDefault="00047ABA" w:rsidP="009553B8">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sz w:val="24"/>
          <w:szCs w:val="24"/>
        </w:rPr>
        <w:t xml:space="preserve"> </w:t>
      </w:r>
      <w:r w:rsidR="002A3F1F" w:rsidRPr="00D67FC7">
        <w:rPr>
          <w:rFonts w:ascii="Times New Roman" w:hAnsi="Times New Roman" w:cs="Times New Roman"/>
          <w:sz w:val="24"/>
          <w:szCs w:val="24"/>
        </w:rPr>
        <w:t>įsipareigojimų steigėjui ir kitoms suinteresuotoms šalims (pavyzdžiui, su institucijų bendradarbiavimu susiję įsipareigojimai) vykdymas;</w:t>
      </w:r>
    </w:p>
    <w:p w:rsidR="00BD3065" w:rsidRPr="00D67FC7" w:rsidRDefault="00047ABA" w:rsidP="009553B8">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sz w:val="24"/>
          <w:szCs w:val="24"/>
        </w:rPr>
        <w:t xml:space="preserve"> </w:t>
      </w:r>
      <w:r w:rsidR="002A3F1F" w:rsidRPr="00D67FC7">
        <w:rPr>
          <w:rFonts w:ascii="Times New Roman" w:hAnsi="Times New Roman" w:cs="Times New Roman"/>
          <w:sz w:val="24"/>
          <w:szCs w:val="24"/>
        </w:rPr>
        <w:t>veiklos nutraukimas ar nesugebėjimas teikti paslaugas, užtikrinti veiklos procesų funkcionavimą.</w:t>
      </w:r>
    </w:p>
    <w:p w:rsidR="00BD3065" w:rsidRPr="00D67FC7" w:rsidRDefault="002A3F1F" w:rsidP="009553B8">
      <w:pPr>
        <w:pStyle w:val="Sraopastraipa"/>
        <w:numPr>
          <w:ilvl w:val="0"/>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sz w:val="24"/>
          <w:szCs w:val="24"/>
        </w:rPr>
        <w:t>Rizikos poveikiui įvertinti skirta penkių balų skalė. Bendruoju atveju poveikio įvertinimo reikšmės gali būti šios:</w:t>
      </w:r>
    </w:p>
    <w:p w:rsidR="00BD3065" w:rsidRPr="00D67FC7" w:rsidRDefault="00047ABA" w:rsidP="009553B8">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b/>
          <w:bCs/>
          <w:sz w:val="24"/>
          <w:szCs w:val="24"/>
        </w:rPr>
        <w:lastRenderedPageBreak/>
        <w:t xml:space="preserve"> </w:t>
      </w:r>
      <w:r w:rsidR="002A3F1F" w:rsidRPr="00D67FC7">
        <w:rPr>
          <w:rFonts w:ascii="Times New Roman" w:hAnsi="Times New Roman" w:cs="Times New Roman"/>
          <w:b/>
          <w:bCs/>
          <w:sz w:val="24"/>
          <w:szCs w:val="24"/>
        </w:rPr>
        <w:t>kritinis poveikis</w:t>
      </w:r>
      <w:r w:rsidR="002A3F1F" w:rsidRPr="00D67FC7">
        <w:rPr>
          <w:rFonts w:ascii="Times New Roman" w:hAnsi="Times New Roman" w:cs="Times New Roman"/>
          <w:sz w:val="24"/>
          <w:szCs w:val="24"/>
        </w:rPr>
        <w:t xml:space="preserve"> – įvykus įvykiui </w:t>
      </w:r>
      <w:r w:rsidR="00BD3065" w:rsidRPr="00D67FC7">
        <w:rPr>
          <w:rFonts w:ascii="Times New Roman" w:hAnsi="Times New Roman" w:cs="Times New Roman"/>
          <w:sz w:val="24"/>
          <w:szCs w:val="24"/>
        </w:rPr>
        <w:t>Administracija</w:t>
      </w:r>
      <w:r w:rsidR="002A3F1F" w:rsidRPr="00D67FC7">
        <w:rPr>
          <w:rFonts w:ascii="Times New Roman" w:hAnsi="Times New Roman" w:cs="Times New Roman"/>
          <w:sz w:val="24"/>
          <w:szCs w:val="24"/>
        </w:rPr>
        <w:t xml:space="preserve"> iš esmės nesugebės pasiekti savo veiklos tikslų, negalės tęsti savo veiklos įprastine tvarka ir apimtimi, patirs reikšmingų finansinių nuostolių ar pakenks savo įvaizdžiui ilgalaikėje perspektyvoje;</w:t>
      </w:r>
    </w:p>
    <w:p w:rsidR="003F7354" w:rsidRPr="00D67FC7" w:rsidRDefault="00047ABA" w:rsidP="009553B8">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b/>
          <w:bCs/>
          <w:sz w:val="24"/>
          <w:szCs w:val="24"/>
        </w:rPr>
        <w:t xml:space="preserve"> </w:t>
      </w:r>
      <w:r w:rsidR="002A3F1F" w:rsidRPr="00D67FC7">
        <w:rPr>
          <w:rFonts w:ascii="Times New Roman" w:hAnsi="Times New Roman" w:cs="Times New Roman"/>
          <w:b/>
          <w:bCs/>
          <w:sz w:val="24"/>
          <w:szCs w:val="24"/>
        </w:rPr>
        <w:t>reikšmingas poveikis</w:t>
      </w:r>
      <w:r w:rsidR="002A3F1F" w:rsidRPr="00D67FC7">
        <w:rPr>
          <w:rFonts w:ascii="Times New Roman" w:hAnsi="Times New Roman" w:cs="Times New Roman"/>
          <w:sz w:val="24"/>
          <w:szCs w:val="24"/>
        </w:rPr>
        <w:t xml:space="preserve"> – šis poveikis siejamas su </w:t>
      </w:r>
      <w:r w:rsidR="00F20218" w:rsidRPr="00D67FC7">
        <w:rPr>
          <w:rFonts w:ascii="Times New Roman" w:hAnsi="Times New Roman" w:cs="Times New Roman"/>
          <w:sz w:val="24"/>
          <w:szCs w:val="24"/>
        </w:rPr>
        <w:t>Administracijos</w:t>
      </w:r>
      <w:r w:rsidR="002A3F1F" w:rsidRPr="00D67FC7">
        <w:rPr>
          <w:rFonts w:ascii="Times New Roman" w:hAnsi="Times New Roman" w:cs="Times New Roman"/>
          <w:sz w:val="24"/>
          <w:szCs w:val="24"/>
        </w:rPr>
        <w:t xml:space="preserve"> veiklos sutrikimais, kurių padariniai gali būti reikšmingi siekiant jos tikslų. Tokio poveikio pavyzdžiais galėtų būti netikėtas kelių svarbias pareigas einančių vadovų ar darbuotojų pasitraukimas, didelės apimties informacinio technologinio projekto nesėkmingas įgyvendinimas ir kt.;</w:t>
      </w:r>
    </w:p>
    <w:p w:rsidR="003F7354" w:rsidRPr="00D67FC7" w:rsidRDefault="00047ABA" w:rsidP="009553B8">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b/>
          <w:bCs/>
          <w:sz w:val="24"/>
          <w:szCs w:val="24"/>
        </w:rPr>
        <w:t xml:space="preserve"> </w:t>
      </w:r>
      <w:r w:rsidR="002A3F1F" w:rsidRPr="00D67FC7">
        <w:rPr>
          <w:rFonts w:ascii="Times New Roman" w:hAnsi="Times New Roman" w:cs="Times New Roman"/>
          <w:b/>
          <w:bCs/>
          <w:sz w:val="24"/>
          <w:szCs w:val="24"/>
        </w:rPr>
        <w:t>vidutinis poveikis</w:t>
      </w:r>
      <w:r w:rsidR="002A3F1F" w:rsidRPr="00D67FC7">
        <w:rPr>
          <w:rFonts w:ascii="Times New Roman" w:hAnsi="Times New Roman" w:cs="Times New Roman"/>
          <w:sz w:val="24"/>
          <w:szCs w:val="24"/>
        </w:rPr>
        <w:t xml:space="preserve"> – tai tam tikras neigiamas poveikis </w:t>
      </w:r>
      <w:r w:rsidR="003F7354" w:rsidRPr="00D67FC7">
        <w:rPr>
          <w:rFonts w:ascii="Times New Roman" w:hAnsi="Times New Roman" w:cs="Times New Roman"/>
          <w:sz w:val="24"/>
          <w:szCs w:val="24"/>
        </w:rPr>
        <w:t>Administracijo</w:t>
      </w:r>
      <w:r w:rsidR="002A3F1F" w:rsidRPr="00D67FC7">
        <w:rPr>
          <w:rFonts w:ascii="Times New Roman" w:hAnsi="Times New Roman" w:cs="Times New Roman"/>
          <w:sz w:val="24"/>
          <w:szCs w:val="24"/>
        </w:rPr>
        <w:t xml:space="preserve">s tikslų siekimui. Pavyzdžiui, </w:t>
      </w:r>
      <w:r w:rsidR="000C72D6">
        <w:rPr>
          <w:rFonts w:ascii="Times New Roman" w:hAnsi="Times New Roman" w:cs="Times New Roman"/>
          <w:sz w:val="24"/>
          <w:szCs w:val="24"/>
        </w:rPr>
        <w:t xml:space="preserve">įstaigos </w:t>
      </w:r>
      <w:r w:rsidR="002A3F1F" w:rsidRPr="00D67FC7">
        <w:rPr>
          <w:rFonts w:ascii="Times New Roman" w:hAnsi="Times New Roman" w:cs="Times New Roman"/>
          <w:sz w:val="24"/>
          <w:szCs w:val="24"/>
        </w:rPr>
        <w:t>pavadinimas gali būti paminėtas žiniasklaidoje, neigiamo pobūdžio turinio straipsnyje, laikinai gali sutrikti tam tikri veiklos procesai ar funkcijų vykdymas, gali laikinai sumažėti darbo efektyvumas ir pan.;</w:t>
      </w:r>
    </w:p>
    <w:p w:rsidR="003F7354" w:rsidRPr="00D67FC7" w:rsidRDefault="00047ABA" w:rsidP="009553B8">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b/>
          <w:bCs/>
          <w:sz w:val="24"/>
          <w:szCs w:val="24"/>
        </w:rPr>
        <w:t xml:space="preserve"> </w:t>
      </w:r>
      <w:r w:rsidR="002A3F1F" w:rsidRPr="00D67FC7">
        <w:rPr>
          <w:rFonts w:ascii="Times New Roman" w:hAnsi="Times New Roman" w:cs="Times New Roman"/>
          <w:b/>
          <w:bCs/>
          <w:sz w:val="24"/>
          <w:szCs w:val="24"/>
        </w:rPr>
        <w:t>nežymus poveikis</w:t>
      </w:r>
      <w:r w:rsidR="002A3F1F" w:rsidRPr="00D67FC7">
        <w:rPr>
          <w:rFonts w:ascii="Times New Roman" w:hAnsi="Times New Roman" w:cs="Times New Roman"/>
          <w:sz w:val="24"/>
          <w:szCs w:val="24"/>
        </w:rPr>
        <w:t xml:space="preserve"> – trumpalaikio pobūdžio ir nesukelia reikšmingo veiklos sutrikimo. Pavyzdžiais galėtų būti atskiri gyventojų nepasitenkinimo jiems teikiamomis paslaugomis ar atliekamais valstybinės priežiūros veiksmais atvejai, trumpalaikis tam tikrų procesų efektyvumo sumažėjimas ir kt.;</w:t>
      </w:r>
    </w:p>
    <w:p w:rsidR="008B0E36" w:rsidRPr="00D67FC7" w:rsidRDefault="002A3F1F" w:rsidP="00641662">
      <w:pPr>
        <w:pStyle w:val="Sraopastraipa"/>
        <w:numPr>
          <w:ilvl w:val="1"/>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b/>
          <w:bCs/>
          <w:sz w:val="24"/>
          <w:szCs w:val="24"/>
        </w:rPr>
        <w:t>nereikšmingas poveikis</w:t>
      </w:r>
      <w:r w:rsidRPr="00D67FC7">
        <w:rPr>
          <w:rFonts w:ascii="Times New Roman" w:hAnsi="Times New Roman" w:cs="Times New Roman"/>
          <w:sz w:val="24"/>
          <w:szCs w:val="24"/>
        </w:rPr>
        <w:t xml:space="preserve"> – iš esmės nėra rizikos poveikio </w:t>
      </w:r>
      <w:r w:rsidR="00EC123F" w:rsidRPr="00D67FC7">
        <w:rPr>
          <w:rFonts w:ascii="Times New Roman" w:hAnsi="Times New Roman" w:cs="Times New Roman"/>
          <w:sz w:val="24"/>
          <w:szCs w:val="24"/>
        </w:rPr>
        <w:t>Administracijos</w:t>
      </w:r>
      <w:r w:rsidRPr="00D67FC7">
        <w:rPr>
          <w:rFonts w:ascii="Times New Roman" w:hAnsi="Times New Roman" w:cs="Times New Roman"/>
          <w:sz w:val="24"/>
          <w:szCs w:val="24"/>
        </w:rPr>
        <w:t xml:space="preserve"> veiklai, o gali būti tik toks, kuris susijęs su įprastinės veiklos sutrikimais, neturinčiais jokios pastebimos įtakos teikiamoms paslaugoms, atliekamoms užduotims ir kt.</w:t>
      </w:r>
    </w:p>
    <w:p w:rsidR="008B0E36" w:rsidRPr="00D67FC7" w:rsidRDefault="002A3F1F" w:rsidP="00641662">
      <w:pPr>
        <w:pStyle w:val="Sraopastraipa"/>
        <w:numPr>
          <w:ilvl w:val="0"/>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sz w:val="24"/>
          <w:szCs w:val="24"/>
        </w:rPr>
        <w:t xml:space="preserve">Nereikšmingus rizikos veiksnius </w:t>
      </w:r>
      <w:r w:rsidR="008B0E36" w:rsidRPr="00D67FC7">
        <w:rPr>
          <w:rFonts w:ascii="Times New Roman" w:hAnsi="Times New Roman" w:cs="Times New Roman"/>
          <w:sz w:val="24"/>
          <w:szCs w:val="24"/>
        </w:rPr>
        <w:t>Administracijos</w:t>
      </w:r>
      <w:r w:rsidRPr="00D67FC7">
        <w:rPr>
          <w:rFonts w:ascii="Times New Roman" w:hAnsi="Times New Roman" w:cs="Times New Roman"/>
          <w:sz w:val="24"/>
          <w:szCs w:val="24"/>
        </w:rPr>
        <w:t xml:space="preserve"> vadovybė gali valdyti įprastinės veiklos priemonėmis, nesiimdama specialių rizikos valdymo priemonių. </w:t>
      </w:r>
    </w:p>
    <w:p w:rsidR="002A3F1F" w:rsidRPr="00D67FC7" w:rsidRDefault="002A3F1F" w:rsidP="00641662">
      <w:pPr>
        <w:pStyle w:val="Sraopastraipa"/>
        <w:numPr>
          <w:ilvl w:val="0"/>
          <w:numId w:val="8"/>
        </w:numPr>
        <w:ind w:left="0" w:firstLine="720"/>
        <w:jc w:val="both"/>
        <w:rPr>
          <w:rFonts w:ascii="Times New Roman" w:hAnsi="Times New Roman" w:cs="Times New Roman"/>
          <w:sz w:val="28"/>
          <w:szCs w:val="28"/>
          <w:lang w:eastAsia="lt-LT"/>
        </w:rPr>
      </w:pPr>
      <w:r w:rsidRPr="00D67FC7">
        <w:rPr>
          <w:rFonts w:ascii="Times New Roman" w:hAnsi="Times New Roman" w:cs="Times New Roman"/>
          <w:sz w:val="24"/>
          <w:szCs w:val="24"/>
        </w:rPr>
        <w:t>Rizikos pasireiškimo tikimybės ir galimo poveikio įvertinimo naudojantis 5 balų skale pavyzdžiai pateikiami rizikos vertinimo skalės aprašyme (</w:t>
      </w:r>
      <w:r w:rsidR="00B93B9E" w:rsidRPr="00D67FC7">
        <w:rPr>
          <w:rFonts w:ascii="Times New Roman" w:hAnsi="Times New Roman" w:cs="Times New Roman"/>
          <w:sz w:val="24"/>
          <w:szCs w:val="24"/>
        </w:rPr>
        <w:t xml:space="preserve">žr. </w:t>
      </w:r>
      <w:r w:rsidRPr="00D67FC7">
        <w:rPr>
          <w:rFonts w:ascii="Times New Roman" w:hAnsi="Times New Roman" w:cs="Times New Roman"/>
          <w:sz w:val="24"/>
          <w:szCs w:val="24"/>
        </w:rPr>
        <w:t>3 pried</w:t>
      </w:r>
      <w:r w:rsidR="00B93B9E" w:rsidRPr="00D67FC7">
        <w:rPr>
          <w:rFonts w:ascii="Times New Roman" w:hAnsi="Times New Roman" w:cs="Times New Roman"/>
          <w:sz w:val="24"/>
          <w:szCs w:val="24"/>
        </w:rPr>
        <w:t>ą</w:t>
      </w:r>
      <w:r w:rsidRPr="00D67FC7">
        <w:rPr>
          <w:rFonts w:ascii="Times New Roman" w:hAnsi="Times New Roman" w:cs="Times New Roman"/>
          <w:sz w:val="24"/>
          <w:szCs w:val="24"/>
        </w:rPr>
        <w:t xml:space="preserve">). Pateikti pavyzdžiai yra iliustracinio pobūdžio ir jais neturėtų būti vadovaujamasi atliekant </w:t>
      </w:r>
      <w:r w:rsidR="00214181">
        <w:rPr>
          <w:rFonts w:ascii="Times New Roman" w:hAnsi="Times New Roman" w:cs="Times New Roman"/>
          <w:sz w:val="24"/>
          <w:szCs w:val="24"/>
        </w:rPr>
        <w:t>savivaldybės</w:t>
      </w:r>
      <w:r w:rsidRPr="00D67FC7">
        <w:rPr>
          <w:rFonts w:ascii="Times New Roman" w:hAnsi="Times New Roman" w:cs="Times New Roman"/>
          <w:sz w:val="24"/>
          <w:szCs w:val="24"/>
        </w:rPr>
        <w:t xml:space="preserve"> rizikos veiksnių įvertinimą.</w:t>
      </w:r>
    </w:p>
    <w:p w:rsidR="00DE6D7C" w:rsidRDefault="00DE6D7C" w:rsidP="00641662">
      <w:pPr>
        <w:pStyle w:val="Sraopastraipa"/>
        <w:numPr>
          <w:ilvl w:val="0"/>
          <w:numId w:val="8"/>
        </w:numPr>
        <w:ind w:left="0" w:firstLine="720"/>
        <w:jc w:val="both"/>
        <w:rPr>
          <w:rFonts w:ascii="Times New Roman" w:hAnsi="Times New Roman" w:cs="Times New Roman"/>
          <w:sz w:val="24"/>
          <w:szCs w:val="24"/>
          <w:lang w:eastAsia="lt-LT"/>
        </w:rPr>
      </w:pPr>
      <w:r w:rsidRPr="00DE6D7C">
        <w:rPr>
          <w:rFonts w:ascii="Times New Roman" w:hAnsi="Times New Roman" w:cs="Times New Roman"/>
          <w:sz w:val="24"/>
          <w:szCs w:val="24"/>
          <w:lang w:eastAsia="lt-LT"/>
        </w:rPr>
        <w:t>Rizikos svarba nustatoma padauginant rizikos tikimybės įvertinimo rodiklį iš poveikio įvertinimo rodiklio ir gaunant kompleksinį įvertinimą. Taip įvertinti rizikos veiksniai išdėstomi įvertinimo plane (brėžinyje), kurio pagrindu atliekamas tolesnis rizikos veiksnių portfelio vertinimas nustatant prioritetus rizikos valdymo priemonėms įgyvendinti</w:t>
      </w:r>
      <w:r w:rsidR="003B3D96">
        <w:rPr>
          <w:rFonts w:ascii="Times New Roman" w:hAnsi="Times New Roman" w:cs="Times New Roman"/>
          <w:sz w:val="24"/>
          <w:szCs w:val="24"/>
          <w:lang w:eastAsia="lt-LT"/>
        </w:rPr>
        <w:t>:</w:t>
      </w:r>
    </w:p>
    <w:p w:rsidR="00DE6D7C" w:rsidRPr="00DE6D7C" w:rsidRDefault="009553B8" w:rsidP="009553B8">
      <w:pPr>
        <w:pStyle w:val="Sraopastraipa"/>
        <w:numPr>
          <w:ilvl w:val="1"/>
          <w:numId w:val="8"/>
        </w:numPr>
        <w:ind w:left="0" w:firstLine="720"/>
        <w:rPr>
          <w:rFonts w:ascii="Times New Roman" w:hAnsi="Times New Roman" w:cs="Times New Roman"/>
          <w:sz w:val="24"/>
          <w:szCs w:val="24"/>
          <w:lang w:eastAsia="lt-LT"/>
        </w:rPr>
      </w:pPr>
      <w:r>
        <w:rPr>
          <w:rFonts w:ascii="Times New Roman" w:hAnsi="Times New Roman" w:cs="Times New Roman"/>
          <w:sz w:val="24"/>
          <w:szCs w:val="24"/>
        </w:rPr>
        <w:t xml:space="preserve"> </w:t>
      </w:r>
      <w:r w:rsidR="00DE6D7C" w:rsidRPr="009553B8">
        <w:rPr>
          <w:rFonts w:ascii="Times New Roman" w:hAnsi="Times New Roman" w:cs="Times New Roman"/>
          <w:sz w:val="24"/>
          <w:szCs w:val="24"/>
        </w:rPr>
        <w:t>Poveikio / tikimybės vertinimo matricos pavyzdys</w:t>
      </w:r>
      <w:r>
        <w:rPr>
          <w:rFonts w:ascii="Times New Roman" w:hAnsi="Times New Roman" w:cs="Times New Roman"/>
          <w:sz w:val="24"/>
          <w:szCs w:val="24"/>
        </w:rPr>
        <w:t>:</w:t>
      </w:r>
      <w:r w:rsidR="00CC4ED7" w:rsidRPr="00CC4ED7">
        <w:rPr>
          <w:rFonts w:ascii="Times New Roman" w:eastAsia="Times New Roman" w:hAnsi="Times New Roman" w:cs="Times New Roman"/>
          <w:noProof/>
          <w:sz w:val="24"/>
          <w:szCs w:val="20"/>
        </w:rPr>
        <w:object w:dxaOrig="8386" w:dyaOrig="4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7.75pt;height:249pt;mso-width-percent:0;mso-height-percent:0;mso-width-percent:0;mso-height-percent:0" o:ole="" filled="t">
            <v:fill color2="black"/>
            <v:imagedata r:id="rId10" o:title=""/>
          </v:shape>
          <o:OLEObject Type="Embed" ProgID="Visio.Drawing.11" ShapeID="_x0000_i1025" DrawAspect="Content" ObjectID="_1678031440" r:id="rId11"/>
        </w:object>
      </w:r>
    </w:p>
    <w:p w:rsidR="00DE6D7C" w:rsidRPr="009553B8" w:rsidRDefault="00DE6D7C" w:rsidP="004324A0">
      <w:pPr>
        <w:pStyle w:val="Sraopastraipa"/>
        <w:numPr>
          <w:ilvl w:val="0"/>
          <w:numId w:val="8"/>
        </w:numPr>
        <w:ind w:left="0" w:firstLine="720"/>
        <w:jc w:val="both"/>
        <w:rPr>
          <w:rFonts w:ascii="Times New Roman" w:hAnsi="Times New Roman" w:cs="Times New Roman"/>
          <w:sz w:val="28"/>
          <w:szCs w:val="28"/>
          <w:lang w:eastAsia="lt-LT"/>
        </w:rPr>
      </w:pPr>
      <w:r w:rsidRPr="009553B8">
        <w:rPr>
          <w:rFonts w:ascii="Times New Roman" w:hAnsi="Times New Roman" w:cs="Times New Roman"/>
          <w:sz w:val="24"/>
          <w:szCs w:val="24"/>
        </w:rPr>
        <w:t xml:space="preserve">Apskaičiavus rizikos svarbą, visos Rizikos veiksnių (faktorių) registre nustatytos rizikos išrikiuojamos </w:t>
      </w:r>
      <w:r w:rsidR="00DB5506" w:rsidRPr="009553B8">
        <w:rPr>
          <w:rFonts w:ascii="Times New Roman" w:hAnsi="Times New Roman" w:cs="Times New Roman"/>
          <w:sz w:val="24"/>
          <w:szCs w:val="24"/>
        </w:rPr>
        <w:t>prioriteto tvarka pagal svarbą ir užpildomi registro stulpeliai Nr. 6,</w:t>
      </w:r>
      <w:r w:rsidR="000C72D6">
        <w:rPr>
          <w:rFonts w:ascii="Times New Roman" w:hAnsi="Times New Roman" w:cs="Times New Roman"/>
          <w:sz w:val="24"/>
          <w:szCs w:val="24"/>
        </w:rPr>
        <w:t xml:space="preserve"> </w:t>
      </w:r>
      <w:r w:rsidR="00DB5506" w:rsidRPr="009553B8">
        <w:rPr>
          <w:rFonts w:ascii="Times New Roman" w:hAnsi="Times New Roman" w:cs="Times New Roman"/>
          <w:sz w:val="24"/>
          <w:szCs w:val="24"/>
        </w:rPr>
        <w:t>7,</w:t>
      </w:r>
      <w:r w:rsidR="000C72D6">
        <w:rPr>
          <w:rFonts w:ascii="Times New Roman" w:hAnsi="Times New Roman" w:cs="Times New Roman"/>
          <w:sz w:val="24"/>
          <w:szCs w:val="24"/>
        </w:rPr>
        <w:t xml:space="preserve"> </w:t>
      </w:r>
      <w:r w:rsidR="00DB5506" w:rsidRPr="009553B8">
        <w:rPr>
          <w:rFonts w:ascii="Times New Roman" w:hAnsi="Times New Roman" w:cs="Times New Roman"/>
          <w:sz w:val="24"/>
          <w:szCs w:val="24"/>
        </w:rPr>
        <w:t xml:space="preserve">8 pagal nustatytus rizikos vertinimo metu įverčius. </w:t>
      </w:r>
    </w:p>
    <w:p w:rsidR="00DB5506" w:rsidRDefault="00DB5506" w:rsidP="00DB5506">
      <w:pPr>
        <w:jc w:val="center"/>
        <w:rPr>
          <w:b/>
          <w:bCs/>
          <w:szCs w:val="24"/>
          <w:lang w:eastAsia="lt-LT"/>
        </w:rPr>
      </w:pPr>
      <w:r>
        <w:rPr>
          <w:b/>
          <w:bCs/>
          <w:szCs w:val="24"/>
          <w:lang w:eastAsia="lt-LT"/>
        </w:rPr>
        <w:lastRenderedPageBreak/>
        <w:t>V SKYRIUS</w:t>
      </w:r>
    </w:p>
    <w:p w:rsidR="00DB5506" w:rsidRDefault="00DB5506" w:rsidP="00DB5506">
      <w:pPr>
        <w:jc w:val="center"/>
        <w:rPr>
          <w:b/>
          <w:bCs/>
          <w:szCs w:val="24"/>
          <w:lang w:eastAsia="lt-LT"/>
        </w:rPr>
      </w:pPr>
      <w:r>
        <w:rPr>
          <w:b/>
          <w:bCs/>
          <w:szCs w:val="24"/>
          <w:lang w:eastAsia="lt-LT"/>
        </w:rPr>
        <w:t>RIZIKOS VALDYMO PRIEMONIŲ PARINKIMAS</w:t>
      </w:r>
      <w:r w:rsidR="00B02BE6">
        <w:rPr>
          <w:b/>
          <w:bCs/>
          <w:szCs w:val="24"/>
          <w:lang w:eastAsia="lt-LT"/>
        </w:rPr>
        <w:t xml:space="preserve"> IR PLANAVIMAS</w:t>
      </w:r>
    </w:p>
    <w:p w:rsidR="00DB5506" w:rsidRDefault="00DB5506" w:rsidP="00DB5506">
      <w:pPr>
        <w:jc w:val="center"/>
        <w:rPr>
          <w:b/>
          <w:bCs/>
          <w:szCs w:val="24"/>
          <w:lang w:eastAsia="lt-LT"/>
        </w:rPr>
      </w:pPr>
    </w:p>
    <w:p w:rsidR="00893222" w:rsidRPr="009553B8" w:rsidRDefault="00893222" w:rsidP="005D1600">
      <w:pPr>
        <w:pStyle w:val="Sraopastraipa"/>
        <w:numPr>
          <w:ilvl w:val="0"/>
          <w:numId w:val="8"/>
        </w:numPr>
        <w:tabs>
          <w:tab w:val="left" w:pos="1134"/>
        </w:tabs>
        <w:ind w:left="0" w:firstLine="720"/>
        <w:jc w:val="both"/>
        <w:rPr>
          <w:rFonts w:ascii="Times New Roman" w:hAnsi="Times New Roman" w:cs="Times New Roman"/>
          <w:sz w:val="24"/>
          <w:szCs w:val="24"/>
          <w:lang w:eastAsia="lt-LT"/>
        </w:rPr>
      </w:pPr>
      <w:r w:rsidRPr="009553B8">
        <w:rPr>
          <w:rFonts w:ascii="Times New Roman" w:hAnsi="Times New Roman" w:cs="Times New Roman"/>
          <w:sz w:val="24"/>
          <w:szCs w:val="24"/>
          <w:lang w:eastAsia="lt-LT"/>
        </w:rPr>
        <w:t>Atlikus rizikų vertinimą, rizikos valdymo priemonių parinkimą atlieka rizikų vertinimo darbo grupė.</w:t>
      </w:r>
    </w:p>
    <w:p w:rsidR="00DB5506" w:rsidRPr="009553B8" w:rsidRDefault="00DB5506" w:rsidP="005D1600">
      <w:pPr>
        <w:pStyle w:val="Sraopastraipa"/>
        <w:numPr>
          <w:ilvl w:val="0"/>
          <w:numId w:val="8"/>
        </w:numPr>
        <w:tabs>
          <w:tab w:val="left" w:pos="1134"/>
        </w:tabs>
        <w:ind w:left="0" w:firstLine="720"/>
        <w:jc w:val="both"/>
        <w:rPr>
          <w:rFonts w:ascii="Times New Roman" w:hAnsi="Times New Roman" w:cs="Times New Roman"/>
          <w:sz w:val="24"/>
          <w:szCs w:val="24"/>
          <w:lang w:eastAsia="lt-LT"/>
        </w:rPr>
      </w:pPr>
      <w:r w:rsidRPr="009553B8">
        <w:rPr>
          <w:rFonts w:ascii="Times New Roman" w:hAnsi="Times New Roman" w:cs="Times New Roman"/>
          <w:sz w:val="24"/>
          <w:szCs w:val="24"/>
        </w:rPr>
        <w:t>Administracijoje taikomas rizikos valdymo priemones galima sugrupuoti į šias apibendrintas grupes:</w:t>
      </w:r>
    </w:p>
    <w:p w:rsidR="00DB5506" w:rsidRPr="009553B8" w:rsidRDefault="00DB5506" w:rsidP="005D1600">
      <w:pPr>
        <w:pStyle w:val="Sraopastraipa"/>
        <w:numPr>
          <w:ilvl w:val="1"/>
          <w:numId w:val="8"/>
        </w:numPr>
        <w:tabs>
          <w:tab w:val="left" w:pos="1134"/>
        </w:tabs>
        <w:ind w:left="0" w:firstLine="720"/>
        <w:jc w:val="both"/>
        <w:rPr>
          <w:rFonts w:ascii="Times New Roman" w:hAnsi="Times New Roman" w:cs="Times New Roman"/>
          <w:sz w:val="24"/>
          <w:szCs w:val="24"/>
          <w:lang w:eastAsia="lt-LT"/>
        </w:rPr>
      </w:pPr>
      <w:r w:rsidRPr="009553B8">
        <w:rPr>
          <w:rFonts w:ascii="Times New Roman" w:hAnsi="Times New Roman" w:cs="Times New Roman"/>
          <w:b/>
          <w:bCs/>
          <w:sz w:val="24"/>
          <w:szCs w:val="24"/>
        </w:rPr>
        <w:t xml:space="preserve"> rizikos pašalinimas</w:t>
      </w:r>
      <w:r w:rsidRPr="009553B8">
        <w:rPr>
          <w:rFonts w:ascii="Times New Roman" w:hAnsi="Times New Roman" w:cs="Times New Roman"/>
          <w:sz w:val="24"/>
          <w:szCs w:val="24"/>
        </w:rPr>
        <w:t xml:space="preserve"> – rizika pašalinama reorganizuojant tam tikrą veiklos procesą, atsisakant (perduodant) arba įgyjant (perimant) atskiras (naujas) veiklos funkcijas, nustatant atitinkamas vidaus kontrolės priemones ar kitaip iki minimumo sumažinant esamus rizikos faktorius;</w:t>
      </w:r>
    </w:p>
    <w:p w:rsidR="00DB5506" w:rsidRPr="009553B8" w:rsidRDefault="00DB5506" w:rsidP="005D1600">
      <w:pPr>
        <w:pStyle w:val="Sraopastraipa"/>
        <w:numPr>
          <w:ilvl w:val="1"/>
          <w:numId w:val="8"/>
        </w:numPr>
        <w:tabs>
          <w:tab w:val="left" w:pos="1134"/>
        </w:tabs>
        <w:suppressAutoHyphens/>
        <w:ind w:left="0" w:firstLine="720"/>
        <w:jc w:val="both"/>
        <w:rPr>
          <w:rFonts w:ascii="Times New Roman" w:hAnsi="Times New Roman" w:cs="Times New Roman"/>
          <w:sz w:val="24"/>
          <w:szCs w:val="24"/>
        </w:rPr>
      </w:pPr>
      <w:r w:rsidRPr="009553B8">
        <w:rPr>
          <w:rFonts w:ascii="Times New Roman" w:hAnsi="Times New Roman" w:cs="Times New Roman"/>
          <w:b/>
          <w:bCs/>
          <w:sz w:val="24"/>
          <w:szCs w:val="24"/>
        </w:rPr>
        <w:t xml:space="preserve"> rizikos sumažinimas</w:t>
      </w:r>
      <w:r w:rsidRPr="009553B8">
        <w:rPr>
          <w:rFonts w:ascii="Times New Roman" w:hAnsi="Times New Roman" w:cs="Times New Roman"/>
          <w:sz w:val="24"/>
          <w:szCs w:val="24"/>
        </w:rPr>
        <w:t xml:space="preserve"> – veiksmai rizikos tikimybei (rizikos faktoriams pašalinti, t. y. papildomos vidaus kontrolės procedūros, veiklos procesų patobulinimas ir kt.) ir / ar poveikiui sumažinti (rizikos pasekmių apribojimas, t. y. veiklos tęstinumo planavimas, rezervinis kopijavimas ir kt.);</w:t>
      </w:r>
    </w:p>
    <w:p w:rsidR="00DB5506" w:rsidRPr="009553B8" w:rsidRDefault="00DB5506" w:rsidP="005D1600">
      <w:pPr>
        <w:pStyle w:val="Sraopastraipa"/>
        <w:numPr>
          <w:ilvl w:val="1"/>
          <w:numId w:val="8"/>
        </w:numPr>
        <w:tabs>
          <w:tab w:val="left" w:pos="1134"/>
        </w:tabs>
        <w:suppressAutoHyphens/>
        <w:ind w:left="0" w:firstLine="720"/>
        <w:jc w:val="both"/>
        <w:rPr>
          <w:rFonts w:ascii="Times New Roman" w:hAnsi="Times New Roman" w:cs="Times New Roman"/>
          <w:sz w:val="24"/>
          <w:szCs w:val="24"/>
        </w:rPr>
      </w:pPr>
      <w:r w:rsidRPr="009553B8">
        <w:rPr>
          <w:rFonts w:ascii="Times New Roman" w:hAnsi="Times New Roman" w:cs="Times New Roman"/>
          <w:b/>
          <w:bCs/>
          <w:sz w:val="24"/>
          <w:szCs w:val="24"/>
        </w:rPr>
        <w:t xml:space="preserve"> rizikos perkėlimas</w:t>
      </w:r>
      <w:r w:rsidRPr="009553B8">
        <w:rPr>
          <w:rFonts w:ascii="Times New Roman" w:hAnsi="Times New Roman" w:cs="Times New Roman"/>
          <w:sz w:val="24"/>
          <w:szCs w:val="24"/>
        </w:rPr>
        <w:t xml:space="preserve"> – siekiant sumažinti ar apriboti rizikos poveikį, rizika sutartiniais pagrindais perkeliama trečiajai šaliai. Ši priemonė taikoma sudarant sutartis, kuriose numatomas atitinkamas sutarties  šalių pareigų ir atsakomybės pasiskirstymas;</w:t>
      </w:r>
    </w:p>
    <w:p w:rsidR="00DB5506" w:rsidRPr="009553B8" w:rsidRDefault="00DB5506" w:rsidP="005D1600">
      <w:pPr>
        <w:pStyle w:val="Sraopastraipa"/>
        <w:numPr>
          <w:ilvl w:val="1"/>
          <w:numId w:val="8"/>
        </w:numPr>
        <w:tabs>
          <w:tab w:val="left" w:pos="1134"/>
        </w:tabs>
        <w:ind w:left="0" w:firstLine="720"/>
        <w:jc w:val="both"/>
        <w:rPr>
          <w:rFonts w:ascii="Times New Roman" w:hAnsi="Times New Roman" w:cs="Times New Roman"/>
          <w:sz w:val="24"/>
          <w:szCs w:val="24"/>
          <w:lang w:eastAsia="lt-LT"/>
        </w:rPr>
      </w:pPr>
      <w:r w:rsidRPr="009553B8">
        <w:rPr>
          <w:rFonts w:ascii="Times New Roman" w:hAnsi="Times New Roman" w:cs="Times New Roman"/>
          <w:sz w:val="24"/>
          <w:szCs w:val="24"/>
          <w:lang w:eastAsia="lt-LT"/>
        </w:rPr>
        <w:t xml:space="preserve"> </w:t>
      </w:r>
      <w:r w:rsidR="00893222" w:rsidRPr="009553B8">
        <w:rPr>
          <w:rFonts w:ascii="Times New Roman" w:hAnsi="Times New Roman" w:cs="Times New Roman"/>
          <w:b/>
          <w:bCs/>
          <w:sz w:val="24"/>
          <w:szCs w:val="24"/>
        </w:rPr>
        <w:t>rizikos prisiėmimas (toleravimas)</w:t>
      </w:r>
      <w:r w:rsidR="00893222" w:rsidRPr="009553B8">
        <w:rPr>
          <w:rFonts w:ascii="Times New Roman" w:hAnsi="Times New Roman" w:cs="Times New Roman"/>
          <w:sz w:val="24"/>
          <w:szCs w:val="24"/>
        </w:rPr>
        <w:t xml:space="preserve"> – gali būti prisiimta mažai tikėtinas ir nelabai tikėtinas rizikas, kurios poveikis yra nereikšmingas arba nežymus, neviršijanti nustatyto tolerancijos limito, t. y. neplanuojamos papildomos vidaus kontrolės ar rizikos valdymo priemonės.</w:t>
      </w:r>
    </w:p>
    <w:p w:rsidR="00893222" w:rsidRPr="009553B8" w:rsidRDefault="00893222" w:rsidP="005D1600">
      <w:pPr>
        <w:pStyle w:val="Sraopastraipa"/>
        <w:numPr>
          <w:ilvl w:val="0"/>
          <w:numId w:val="8"/>
        </w:numPr>
        <w:tabs>
          <w:tab w:val="left" w:pos="1134"/>
        </w:tabs>
        <w:suppressAutoHyphens/>
        <w:ind w:left="0" w:firstLine="720"/>
        <w:jc w:val="both"/>
        <w:rPr>
          <w:rFonts w:ascii="Times New Roman" w:hAnsi="Times New Roman" w:cs="Times New Roman"/>
          <w:spacing w:val="-4"/>
          <w:sz w:val="24"/>
          <w:szCs w:val="24"/>
        </w:rPr>
      </w:pPr>
      <w:r w:rsidRPr="009553B8">
        <w:rPr>
          <w:rFonts w:ascii="Times New Roman" w:hAnsi="Times New Roman" w:cs="Times New Roman"/>
          <w:spacing w:val="-4"/>
          <w:sz w:val="24"/>
          <w:szCs w:val="24"/>
        </w:rPr>
        <w:t>Pasirinktos rizikos valdymo priemonės pagal realizavimo veiksmų pobūdį gali būti skirstomos į:</w:t>
      </w:r>
    </w:p>
    <w:p w:rsidR="00893222" w:rsidRPr="009553B8" w:rsidRDefault="00893222" w:rsidP="005D1600">
      <w:pPr>
        <w:pStyle w:val="Sraopastraipa"/>
        <w:numPr>
          <w:ilvl w:val="1"/>
          <w:numId w:val="8"/>
        </w:numPr>
        <w:tabs>
          <w:tab w:val="left" w:pos="1134"/>
        </w:tabs>
        <w:suppressAutoHyphens/>
        <w:ind w:left="0" w:firstLine="720"/>
        <w:jc w:val="both"/>
        <w:rPr>
          <w:rFonts w:ascii="Times New Roman" w:hAnsi="Times New Roman" w:cs="Times New Roman"/>
          <w:sz w:val="24"/>
          <w:szCs w:val="24"/>
        </w:rPr>
      </w:pPr>
      <w:r w:rsidRPr="009553B8">
        <w:rPr>
          <w:rFonts w:ascii="Times New Roman" w:hAnsi="Times New Roman" w:cs="Times New Roman"/>
          <w:sz w:val="24"/>
          <w:szCs w:val="24"/>
        </w:rPr>
        <w:t xml:space="preserve"> technines (rezervinio kopijavimo įranga, svarbios įrangos dubliavimas);</w:t>
      </w:r>
    </w:p>
    <w:p w:rsidR="00893222" w:rsidRPr="009553B8" w:rsidRDefault="00893222" w:rsidP="005D1600">
      <w:pPr>
        <w:pStyle w:val="Sraopastraipa"/>
        <w:numPr>
          <w:ilvl w:val="1"/>
          <w:numId w:val="8"/>
        </w:numPr>
        <w:tabs>
          <w:tab w:val="left" w:pos="1134"/>
        </w:tabs>
        <w:suppressAutoHyphens/>
        <w:ind w:left="0" w:firstLine="720"/>
        <w:jc w:val="both"/>
        <w:rPr>
          <w:rFonts w:ascii="Times New Roman" w:hAnsi="Times New Roman" w:cs="Times New Roman"/>
          <w:sz w:val="24"/>
          <w:szCs w:val="24"/>
        </w:rPr>
      </w:pPr>
      <w:r w:rsidRPr="009553B8">
        <w:rPr>
          <w:rFonts w:ascii="Times New Roman" w:hAnsi="Times New Roman" w:cs="Times New Roman"/>
          <w:sz w:val="24"/>
          <w:szCs w:val="24"/>
        </w:rPr>
        <w:t xml:space="preserve"> paremta valdymo informacija (veiklos vertinimo rodikliai);</w:t>
      </w:r>
    </w:p>
    <w:p w:rsidR="00893222" w:rsidRPr="009553B8" w:rsidRDefault="00893222" w:rsidP="005D1600">
      <w:pPr>
        <w:pStyle w:val="Sraopastraipa"/>
        <w:numPr>
          <w:ilvl w:val="1"/>
          <w:numId w:val="8"/>
        </w:numPr>
        <w:tabs>
          <w:tab w:val="left" w:pos="1134"/>
        </w:tabs>
        <w:suppressAutoHyphens/>
        <w:ind w:left="0" w:firstLine="720"/>
        <w:jc w:val="both"/>
        <w:rPr>
          <w:rFonts w:ascii="Times New Roman" w:hAnsi="Times New Roman" w:cs="Times New Roman"/>
          <w:sz w:val="24"/>
          <w:szCs w:val="24"/>
        </w:rPr>
      </w:pPr>
      <w:r w:rsidRPr="009553B8">
        <w:rPr>
          <w:rFonts w:ascii="Times New Roman" w:hAnsi="Times New Roman" w:cs="Times New Roman"/>
          <w:sz w:val="24"/>
          <w:szCs w:val="24"/>
        </w:rPr>
        <w:t xml:space="preserve"> organizacines (procedūros, gairės, veiklos atkūrimo planai, mokymų atnaujinimas);</w:t>
      </w:r>
    </w:p>
    <w:p w:rsidR="00893222" w:rsidRPr="009553B8" w:rsidRDefault="00893222" w:rsidP="005D1600">
      <w:pPr>
        <w:pStyle w:val="Sraopastraipa"/>
        <w:numPr>
          <w:ilvl w:val="1"/>
          <w:numId w:val="8"/>
        </w:numPr>
        <w:tabs>
          <w:tab w:val="left" w:pos="1134"/>
        </w:tabs>
        <w:suppressAutoHyphens/>
        <w:ind w:left="0" w:firstLine="720"/>
        <w:jc w:val="both"/>
        <w:rPr>
          <w:rFonts w:ascii="Times New Roman" w:hAnsi="Times New Roman" w:cs="Times New Roman"/>
          <w:sz w:val="24"/>
          <w:szCs w:val="24"/>
        </w:rPr>
      </w:pPr>
      <w:r w:rsidRPr="009553B8">
        <w:rPr>
          <w:rFonts w:ascii="Times New Roman" w:hAnsi="Times New Roman" w:cs="Times New Roman"/>
          <w:sz w:val="24"/>
          <w:szCs w:val="24"/>
        </w:rPr>
        <w:t xml:space="preserve"> vadybines (kokybės valdymo sistema, procesų analizė ir tobulinimas);</w:t>
      </w:r>
    </w:p>
    <w:p w:rsidR="00893222" w:rsidRPr="009553B8" w:rsidRDefault="00893222" w:rsidP="005D1600">
      <w:pPr>
        <w:pStyle w:val="Sraopastraipa"/>
        <w:numPr>
          <w:ilvl w:val="1"/>
          <w:numId w:val="8"/>
        </w:numPr>
        <w:tabs>
          <w:tab w:val="left" w:pos="1134"/>
        </w:tabs>
        <w:suppressAutoHyphens/>
        <w:ind w:left="0" w:firstLine="720"/>
        <w:jc w:val="both"/>
        <w:rPr>
          <w:rFonts w:ascii="Times New Roman" w:hAnsi="Times New Roman" w:cs="Times New Roman"/>
          <w:sz w:val="24"/>
          <w:szCs w:val="24"/>
        </w:rPr>
      </w:pPr>
      <w:r w:rsidRPr="009553B8">
        <w:rPr>
          <w:rFonts w:ascii="Times New Roman" w:hAnsi="Times New Roman" w:cs="Times New Roman"/>
          <w:sz w:val="24"/>
          <w:szCs w:val="24"/>
        </w:rPr>
        <w:t xml:space="preserve"> teisines (sutartiniai trečiosios šalies įsipareigojimai siekiant užtikrinti tam tikrą paslaugų kokybę);</w:t>
      </w:r>
    </w:p>
    <w:p w:rsidR="00893222" w:rsidRPr="009553B8" w:rsidRDefault="00893222" w:rsidP="005D1600">
      <w:pPr>
        <w:pStyle w:val="Sraopastraipa"/>
        <w:numPr>
          <w:ilvl w:val="1"/>
          <w:numId w:val="8"/>
        </w:numPr>
        <w:tabs>
          <w:tab w:val="left" w:pos="1134"/>
        </w:tabs>
        <w:suppressAutoHyphens/>
        <w:ind w:left="0" w:firstLine="720"/>
        <w:jc w:val="both"/>
        <w:rPr>
          <w:rFonts w:ascii="Times New Roman" w:hAnsi="Times New Roman" w:cs="Times New Roman"/>
          <w:sz w:val="24"/>
          <w:szCs w:val="24"/>
        </w:rPr>
      </w:pPr>
      <w:r w:rsidRPr="009553B8">
        <w:rPr>
          <w:rFonts w:ascii="Times New Roman" w:hAnsi="Times New Roman" w:cs="Times New Roman"/>
          <w:sz w:val="24"/>
          <w:szCs w:val="24"/>
        </w:rPr>
        <w:t xml:space="preserve"> finansines (draudimas, baudos ir kitos finansinės sankcijos).</w:t>
      </w:r>
    </w:p>
    <w:p w:rsidR="00DE6D7C" w:rsidRPr="009553B8" w:rsidRDefault="001279BF" w:rsidP="001279BF">
      <w:pPr>
        <w:pStyle w:val="Sraopastraipa"/>
        <w:tabs>
          <w:tab w:val="left" w:pos="1134"/>
        </w:tabs>
        <w:ind w:left="0" w:firstLine="709"/>
        <w:jc w:val="both"/>
        <w:rPr>
          <w:rFonts w:ascii="Times New Roman" w:hAnsi="Times New Roman" w:cs="Times New Roman"/>
          <w:sz w:val="24"/>
          <w:szCs w:val="24"/>
          <w:lang w:eastAsia="lt-LT"/>
        </w:rPr>
      </w:pPr>
      <w:r>
        <w:rPr>
          <w:rFonts w:ascii="Times New Roman" w:hAnsi="Times New Roman" w:cs="Times New Roman"/>
          <w:sz w:val="24"/>
          <w:szCs w:val="24"/>
        </w:rPr>
        <w:t>27. A</w:t>
      </w:r>
      <w:r w:rsidR="00893222" w:rsidRPr="009553B8">
        <w:rPr>
          <w:rFonts w:ascii="Times New Roman" w:hAnsi="Times New Roman" w:cs="Times New Roman"/>
          <w:sz w:val="24"/>
          <w:szCs w:val="24"/>
        </w:rPr>
        <w:t>tskiriems rizikos veiksniams valdyti gali būti taikomos įvairios rizikos valdymo priemonės arba jų deriniai.</w:t>
      </w:r>
    </w:p>
    <w:p w:rsidR="00893222" w:rsidRPr="009553B8" w:rsidRDefault="001279BF" w:rsidP="001279BF">
      <w:pPr>
        <w:pStyle w:val="Sraopastraipa"/>
        <w:tabs>
          <w:tab w:val="left" w:pos="1134"/>
        </w:tabs>
        <w:jc w:val="both"/>
        <w:rPr>
          <w:rFonts w:ascii="Times New Roman" w:hAnsi="Times New Roman" w:cs="Times New Roman"/>
          <w:sz w:val="24"/>
          <w:szCs w:val="24"/>
          <w:lang w:eastAsia="lt-LT"/>
        </w:rPr>
      </w:pPr>
      <w:r>
        <w:rPr>
          <w:rFonts w:ascii="Times New Roman" w:hAnsi="Times New Roman" w:cs="Times New Roman"/>
          <w:sz w:val="24"/>
          <w:szCs w:val="24"/>
        </w:rPr>
        <w:t xml:space="preserve">28. </w:t>
      </w:r>
      <w:r w:rsidR="00893222" w:rsidRPr="009553B8">
        <w:rPr>
          <w:rFonts w:ascii="Times New Roman" w:hAnsi="Times New Roman" w:cs="Times New Roman"/>
          <w:sz w:val="24"/>
          <w:szCs w:val="24"/>
        </w:rPr>
        <w:t>Rizikos valdymo priemonės pasirenkamos vadovaujantis šiais kriterijais:</w:t>
      </w:r>
    </w:p>
    <w:p w:rsidR="00893222" w:rsidRPr="009553B8" w:rsidRDefault="001279BF" w:rsidP="001279BF">
      <w:pPr>
        <w:pStyle w:val="Sraopastraipa"/>
        <w:tabs>
          <w:tab w:val="left" w:pos="1134"/>
        </w:tabs>
        <w:ind w:left="0" w:firstLine="720"/>
        <w:jc w:val="both"/>
        <w:rPr>
          <w:rFonts w:ascii="Times New Roman" w:hAnsi="Times New Roman" w:cs="Times New Roman"/>
          <w:sz w:val="24"/>
          <w:szCs w:val="24"/>
          <w:lang w:eastAsia="lt-LT"/>
        </w:rPr>
      </w:pPr>
      <w:r>
        <w:rPr>
          <w:rFonts w:ascii="Times New Roman" w:hAnsi="Times New Roman" w:cs="Times New Roman"/>
          <w:sz w:val="24"/>
          <w:szCs w:val="24"/>
        </w:rPr>
        <w:t xml:space="preserve">28.1. </w:t>
      </w:r>
      <w:r w:rsidR="00893222" w:rsidRPr="009553B8">
        <w:rPr>
          <w:rFonts w:ascii="Times New Roman" w:hAnsi="Times New Roman" w:cs="Times New Roman"/>
          <w:sz w:val="24"/>
          <w:szCs w:val="24"/>
        </w:rPr>
        <w:t>rizikos valdymo priemonė turi padėti sumažinti / apriboti valdomos rizikos pasireiškimo tikimybę ir / ar poveikį iki Administracijai priimtino lygmens;</w:t>
      </w:r>
    </w:p>
    <w:p w:rsidR="00893222" w:rsidRPr="009553B8" w:rsidRDefault="001279BF" w:rsidP="001279BF">
      <w:pPr>
        <w:pStyle w:val="Sraopastraipa"/>
        <w:tabs>
          <w:tab w:val="left" w:pos="1134"/>
        </w:tabs>
        <w:ind w:left="0" w:firstLine="709"/>
        <w:jc w:val="both"/>
        <w:rPr>
          <w:rFonts w:ascii="Times New Roman" w:hAnsi="Times New Roman" w:cs="Times New Roman"/>
          <w:sz w:val="24"/>
          <w:szCs w:val="24"/>
          <w:lang w:eastAsia="lt-LT"/>
        </w:rPr>
      </w:pPr>
      <w:r>
        <w:rPr>
          <w:rFonts w:ascii="Times New Roman" w:hAnsi="Times New Roman" w:cs="Times New Roman"/>
          <w:sz w:val="24"/>
          <w:szCs w:val="24"/>
        </w:rPr>
        <w:t xml:space="preserve">28.2. </w:t>
      </w:r>
      <w:r w:rsidR="00893222" w:rsidRPr="009553B8">
        <w:rPr>
          <w:rFonts w:ascii="Times New Roman" w:hAnsi="Times New Roman" w:cs="Times New Roman"/>
          <w:sz w:val="24"/>
          <w:szCs w:val="24"/>
        </w:rPr>
        <w:t>rizikos valdymo priemonės poveikis turi užtikrinti tęstinį problemos sprendimą, t. y. rizikos valdymo priemonės turi būti orientuotos į vidutinę ar ilgalaikę perspektyvą. Tuo atveju, kai galimos rizikos poveikis yra kritinis ir reikia veikti nedelsiant, gali būti pateisinamos ir trumpesnio laikotarpio priemonės. Bet kokiu atveju turėtų būti numatytos papildomos vidutinio laikotarpio rizikos valdymo priemonės;</w:t>
      </w:r>
    </w:p>
    <w:p w:rsidR="00893222" w:rsidRPr="009553B8" w:rsidRDefault="001279BF" w:rsidP="001279BF">
      <w:pPr>
        <w:pStyle w:val="Sraopastraipa"/>
        <w:tabs>
          <w:tab w:val="left" w:pos="1134"/>
        </w:tabs>
        <w:ind w:left="0" w:firstLine="709"/>
        <w:jc w:val="both"/>
        <w:rPr>
          <w:rFonts w:ascii="Times New Roman" w:hAnsi="Times New Roman" w:cs="Times New Roman"/>
          <w:sz w:val="24"/>
          <w:szCs w:val="24"/>
          <w:lang w:eastAsia="lt-LT"/>
        </w:rPr>
      </w:pPr>
      <w:r>
        <w:rPr>
          <w:rFonts w:ascii="Times New Roman" w:hAnsi="Times New Roman" w:cs="Times New Roman"/>
          <w:sz w:val="24"/>
          <w:szCs w:val="24"/>
        </w:rPr>
        <w:t xml:space="preserve">28.3. </w:t>
      </w:r>
      <w:r w:rsidR="00893222" w:rsidRPr="009553B8">
        <w:rPr>
          <w:rFonts w:ascii="Times New Roman" w:hAnsi="Times New Roman" w:cs="Times New Roman"/>
          <w:sz w:val="24"/>
          <w:szCs w:val="24"/>
        </w:rPr>
        <w:t>rizikos valdymo priemonės įgyvendinimo terminai turi sudaryti prielaidas anksčiau užkirsti kelią numatomai rizikai;</w:t>
      </w:r>
    </w:p>
    <w:p w:rsidR="00893222" w:rsidRPr="009553B8" w:rsidRDefault="001279BF" w:rsidP="001279BF">
      <w:pPr>
        <w:pStyle w:val="Sraopastraipa"/>
        <w:tabs>
          <w:tab w:val="left" w:pos="1134"/>
        </w:tabs>
        <w:ind w:left="0" w:firstLine="720"/>
        <w:jc w:val="both"/>
        <w:rPr>
          <w:rFonts w:ascii="Times New Roman" w:hAnsi="Times New Roman" w:cs="Times New Roman"/>
          <w:sz w:val="24"/>
          <w:szCs w:val="24"/>
          <w:lang w:eastAsia="lt-LT"/>
        </w:rPr>
      </w:pPr>
      <w:r>
        <w:rPr>
          <w:rFonts w:ascii="Times New Roman" w:hAnsi="Times New Roman" w:cs="Times New Roman"/>
          <w:sz w:val="24"/>
          <w:szCs w:val="24"/>
        </w:rPr>
        <w:t xml:space="preserve">28.4. </w:t>
      </w:r>
      <w:r w:rsidR="00893222" w:rsidRPr="009553B8">
        <w:rPr>
          <w:rFonts w:ascii="Times New Roman" w:hAnsi="Times New Roman" w:cs="Times New Roman"/>
          <w:sz w:val="24"/>
          <w:szCs w:val="24"/>
        </w:rPr>
        <w:t>rizikos valdymo priemonei įgyvendinti Administracija turi turėti pakankamus organizacinius, žmogiškuosius ir / ar finansinius išteklius;</w:t>
      </w:r>
    </w:p>
    <w:p w:rsidR="00893222" w:rsidRPr="009553B8" w:rsidRDefault="001279BF" w:rsidP="001279BF">
      <w:pPr>
        <w:pStyle w:val="Sraopastraipa"/>
        <w:tabs>
          <w:tab w:val="left" w:pos="1134"/>
        </w:tabs>
        <w:ind w:left="0" w:firstLine="720"/>
        <w:jc w:val="both"/>
        <w:rPr>
          <w:rFonts w:ascii="Times New Roman" w:hAnsi="Times New Roman" w:cs="Times New Roman"/>
          <w:sz w:val="24"/>
          <w:szCs w:val="24"/>
          <w:lang w:eastAsia="lt-LT"/>
        </w:rPr>
      </w:pPr>
      <w:r>
        <w:rPr>
          <w:rFonts w:ascii="Times New Roman" w:hAnsi="Times New Roman" w:cs="Times New Roman"/>
          <w:sz w:val="24"/>
          <w:szCs w:val="24"/>
        </w:rPr>
        <w:t xml:space="preserve">28.5. </w:t>
      </w:r>
      <w:r w:rsidR="00893222" w:rsidRPr="009553B8">
        <w:rPr>
          <w:rFonts w:ascii="Times New Roman" w:hAnsi="Times New Roman" w:cs="Times New Roman"/>
          <w:sz w:val="24"/>
          <w:szCs w:val="24"/>
        </w:rPr>
        <w:t>rizikos valdymo priemonės įgyvendinimo sąnaudos neturi viršyti neigiamų galimos rizikos padarinių, t. y. rizikos valdymo priemonės turi būti pagrįstos ekonominiu požiūriu.</w:t>
      </w:r>
    </w:p>
    <w:p w:rsidR="00B02BE6" w:rsidRPr="009553B8" w:rsidRDefault="00937A7B" w:rsidP="001279BF">
      <w:pPr>
        <w:pStyle w:val="Sraopastraipa"/>
        <w:numPr>
          <w:ilvl w:val="0"/>
          <w:numId w:val="14"/>
        </w:numPr>
        <w:tabs>
          <w:tab w:val="left" w:pos="720"/>
        </w:tabs>
        <w:ind w:left="0" w:firstLine="720"/>
        <w:jc w:val="both"/>
        <w:rPr>
          <w:rFonts w:ascii="Times New Roman" w:hAnsi="Times New Roman" w:cs="Times New Roman"/>
          <w:sz w:val="24"/>
          <w:szCs w:val="24"/>
          <w:lang w:eastAsia="lt-LT"/>
        </w:rPr>
      </w:pPr>
      <w:r w:rsidRPr="009553B8">
        <w:rPr>
          <w:rFonts w:ascii="Times New Roman" w:hAnsi="Times New Roman" w:cs="Times New Roman"/>
          <w:sz w:val="24"/>
          <w:szCs w:val="24"/>
        </w:rPr>
        <w:t xml:space="preserve">Pasirinkus rizikos valdymo priemones, Darbo grupė nustato jų įgyvendinimo terminus, atsakomybes ir laukiamus rezultatus, t. y. būseną, kuri būtų pasiekta įgyvendinus atitinkamas priemones. Atsakomybė už rizikos valdymo priemonių įgyvendinimą nustatoma atsižvelgiant į Administracijos struktūrą, </w:t>
      </w:r>
      <w:r w:rsidR="00B02BE6" w:rsidRPr="009553B8">
        <w:rPr>
          <w:rFonts w:ascii="Times New Roman" w:hAnsi="Times New Roman" w:cs="Times New Roman"/>
          <w:sz w:val="24"/>
          <w:szCs w:val="24"/>
        </w:rPr>
        <w:t xml:space="preserve">Administracijos </w:t>
      </w:r>
      <w:r w:rsidR="004324A0">
        <w:rPr>
          <w:rFonts w:ascii="Times New Roman" w:hAnsi="Times New Roman" w:cs="Times New Roman"/>
          <w:sz w:val="24"/>
          <w:szCs w:val="24"/>
        </w:rPr>
        <w:t>padalinių</w:t>
      </w:r>
      <w:r w:rsidRPr="009553B8">
        <w:rPr>
          <w:rFonts w:ascii="Times New Roman" w:hAnsi="Times New Roman" w:cs="Times New Roman"/>
          <w:sz w:val="24"/>
          <w:szCs w:val="24"/>
        </w:rPr>
        <w:t xml:space="preserve"> atliekamas funkcijas bei </w:t>
      </w:r>
      <w:r w:rsidRPr="009553B8">
        <w:rPr>
          <w:rFonts w:ascii="Times New Roman" w:hAnsi="Times New Roman" w:cs="Times New Roman"/>
          <w:sz w:val="24"/>
          <w:szCs w:val="24"/>
        </w:rPr>
        <w:lastRenderedPageBreak/>
        <w:t>atsakomybės sritis</w:t>
      </w:r>
      <w:r w:rsidR="00B02BE6" w:rsidRPr="009553B8">
        <w:rPr>
          <w:rFonts w:ascii="Times New Roman" w:hAnsi="Times New Roman" w:cs="Times New Roman"/>
          <w:sz w:val="24"/>
          <w:szCs w:val="24"/>
        </w:rPr>
        <w:t>, kompetencijas</w:t>
      </w:r>
      <w:r w:rsidRPr="009553B8">
        <w:rPr>
          <w:rFonts w:ascii="Times New Roman" w:hAnsi="Times New Roman" w:cs="Times New Roman"/>
          <w:sz w:val="24"/>
          <w:szCs w:val="24"/>
        </w:rPr>
        <w:t xml:space="preserve">. Jeigu įgyvendinant rizikos valdymo priemonę turi dalyvauti daugiau nei vienas </w:t>
      </w:r>
      <w:r w:rsidR="004324A0">
        <w:rPr>
          <w:rFonts w:ascii="Times New Roman" w:hAnsi="Times New Roman" w:cs="Times New Roman"/>
          <w:sz w:val="24"/>
          <w:szCs w:val="24"/>
        </w:rPr>
        <w:t>padalinys</w:t>
      </w:r>
      <w:r w:rsidRPr="009553B8">
        <w:rPr>
          <w:rFonts w:ascii="Times New Roman" w:hAnsi="Times New Roman" w:cs="Times New Roman"/>
          <w:sz w:val="24"/>
          <w:szCs w:val="24"/>
        </w:rPr>
        <w:t xml:space="preserve">, nurodoma, kokius konkrečius veiksmus kiekvienas </w:t>
      </w:r>
      <w:r w:rsidR="004324A0">
        <w:rPr>
          <w:rFonts w:ascii="Times New Roman" w:hAnsi="Times New Roman" w:cs="Times New Roman"/>
          <w:sz w:val="24"/>
          <w:szCs w:val="24"/>
        </w:rPr>
        <w:t>padalinys</w:t>
      </w:r>
      <w:r w:rsidRPr="009553B8">
        <w:rPr>
          <w:rFonts w:ascii="Times New Roman" w:hAnsi="Times New Roman" w:cs="Times New Roman"/>
          <w:sz w:val="24"/>
          <w:szCs w:val="24"/>
        </w:rPr>
        <w:t xml:space="preserve"> turi atlikti įgyvendinant atitinkamą rizikos valdymo priemonę (pavyzdžiui, pradinės informacijos surinkimas, galimybių studija, projekto inicijavimas, </w:t>
      </w:r>
      <w:r w:rsidR="00B02BE6" w:rsidRPr="009553B8">
        <w:rPr>
          <w:rFonts w:ascii="Times New Roman" w:hAnsi="Times New Roman" w:cs="Times New Roman"/>
          <w:sz w:val="24"/>
          <w:szCs w:val="24"/>
        </w:rPr>
        <w:t>Administracijos</w:t>
      </w:r>
      <w:r w:rsidRPr="009553B8">
        <w:rPr>
          <w:rFonts w:ascii="Times New Roman" w:hAnsi="Times New Roman" w:cs="Times New Roman"/>
          <w:sz w:val="24"/>
          <w:szCs w:val="24"/>
        </w:rPr>
        <w:t xml:space="preserve"> teisės akto parengimas, </w:t>
      </w:r>
      <w:r w:rsidR="000C72D6">
        <w:rPr>
          <w:rFonts w:ascii="Times New Roman" w:hAnsi="Times New Roman" w:cs="Times New Roman"/>
          <w:sz w:val="24"/>
          <w:szCs w:val="24"/>
        </w:rPr>
        <w:t>derinimas</w:t>
      </w:r>
      <w:r w:rsidRPr="009553B8">
        <w:rPr>
          <w:rFonts w:ascii="Times New Roman" w:hAnsi="Times New Roman" w:cs="Times New Roman"/>
          <w:sz w:val="24"/>
          <w:szCs w:val="24"/>
        </w:rPr>
        <w:t>, tvirtinimas ir pan.).</w:t>
      </w:r>
    </w:p>
    <w:p w:rsidR="00147FA2" w:rsidRDefault="00B02BE6" w:rsidP="001279BF">
      <w:pPr>
        <w:pStyle w:val="Sraopastraipa"/>
        <w:numPr>
          <w:ilvl w:val="0"/>
          <w:numId w:val="14"/>
        </w:numPr>
        <w:tabs>
          <w:tab w:val="left" w:pos="1134"/>
        </w:tabs>
        <w:ind w:left="0" w:firstLine="720"/>
        <w:jc w:val="both"/>
        <w:rPr>
          <w:rFonts w:ascii="Times New Roman" w:hAnsi="Times New Roman" w:cs="Times New Roman"/>
          <w:sz w:val="24"/>
          <w:szCs w:val="32"/>
          <w:lang w:eastAsia="lt-LT"/>
        </w:rPr>
      </w:pPr>
      <w:r w:rsidRPr="009553B8">
        <w:rPr>
          <w:rFonts w:ascii="Times New Roman" w:hAnsi="Times New Roman" w:cs="Times New Roman"/>
          <w:spacing w:val="-6"/>
          <w:sz w:val="24"/>
          <w:szCs w:val="24"/>
        </w:rPr>
        <w:t xml:space="preserve">Rizikos valdymo priemonės įgyvendinimo terminai nustatomi atsižvelgiant į jos įgyvendinimo procese dalyvaujančių </w:t>
      </w:r>
      <w:r w:rsidR="004324A0">
        <w:rPr>
          <w:rFonts w:ascii="Times New Roman" w:hAnsi="Times New Roman" w:cs="Times New Roman"/>
          <w:spacing w:val="-6"/>
          <w:sz w:val="24"/>
          <w:szCs w:val="24"/>
        </w:rPr>
        <w:t>padalinio</w:t>
      </w:r>
      <w:r w:rsidRPr="009553B8">
        <w:rPr>
          <w:rFonts w:ascii="Times New Roman" w:hAnsi="Times New Roman" w:cs="Times New Roman"/>
          <w:spacing w:val="-6"/>
          <w:sz w:val="24"/>
          <w:szCs w:val="24"/>
        </w:rPr>
        <w:t xml:space="preserve"> užimtumą ir turi būti suderinti su visais šiame procese dalyvaujančiais Administracijos </w:t>
      </w:r>
      <w:r w:rsidR="004324A0">
        <w:rPr>
          <w:rFonts w:ascii="Times New Roman" w:hAnsi="Times New Roman" w:cs="Times New Roman"/>
          <w:spacing w:val="-6"/>
          <w:sz w:val="24"/>
          <w:szCs w:val="24"/>
        </w:rPr>
        <w:t>padaliniai</w:t>
      </w:r>
      <w:r w:rsidR="001465C3">
        <w:rPr>
          <w:rFonts w:ascii="Times New Roman" w:hAnsi="Times New Roman" w:cs="Times New Roman"/>
          <w:spacing w:val="-6"/>
          <w:sz w:val="24"/>
          <w:szCs w:val="24"/>
        </w:rPr>
        <w:t>s</w:t>
      </w:r>
      <w:r w:rsidR="00147FA2">
        <w:rPr>
          <w:rFonts w:ascii="Times New Roman" w:hAnsi="Times New Roman" w:cs="Times New Roman"/>
          <w:sz w:val="24"/>
          <w:szCs w:val="32"/>
          <w:lang w:eastAsia="lt-LT"/>
        </w:rPr>
        <w:t xml:space="preserve">. </w:t>
      </w:r>
    </w:p>
    <w:p w:rsidR="00147FA2" w:rsidRDefault="00147FA2" w:rsidP="001279BF">
      <w:pPr>
        <w:pStyle w:val="Sraopastraipa"/>
        <w:numPr>
          <w:ilvl w:val="0"/>
          <w:numId w:val="14"/>
        </w:numPr>
        <w:tabs>
          <w:tab w:val="left" w:pos="1134"/>
        </w:tabs>
        <w:ind w:left="0" w:firstLine="720"/>
        <w:jc w:val="both"/>
        <w:rPr>
          <w:rFonts w:ascii="Times New Roman" w:hAnsi="Times New Roman" w:cs="Times New Roman"/>
          <w:sz w:val="24"/>
          <w:szCs w:val="32"/>
          <w:lang w:eastAsia="lt-LT"/>
        </w:rPr>
      </w:pPr>
      <w:r w:rsidRPr="009553B8">
        <w:rPr>
          <w:rFonts w:ascii="Times New Roman" w:hAnsi="Times New Roman" w:cs="Times New Roman"/>
          <w:spacing w:val="-6"/>
          <w:sz w:val="24"/>
          <w:szCs w:val="24"/>
        </w:rPr>
        <w:t>Rizikos valdymo priemon</w:t>
      </w:r>
      <w:r>
        <w:rPr>
          <w:rFonts w:ascii="Times New Roman" w:hAnsi="Times New Roman" w:cs="Times New Roman"/>
          <w:spacing w:val="-6"/>
          <w:sz w:val="24"/>
          <w:szCs w:val="24"/>
        </w:rPr>
        <w:t xml:space="preserve">ių valdymo planas turi būti teikiamas tvirtinti Administracijos direktoriui. </w:t>
      </w:r>
    </w:p>
    <w:p w:rsidR="00B02BE6" w:rsidRPr="009553B8" w:rsidRDefault="00B02BE6" w:rsidP="00147FA2">
      <w:pPr>
        <w:pStyle w:val="Sraopastraipa"/>
        <w:jc w:val="both"/>
        <w:rPr>
          <w:rFonts w:ascii="Times New Roman" w:hAnsi="Times New Roman" w:cs="Times New Roman"/>
          <w:sz w:val="24"/>
          <w:szCs w:val="24"/>
          <w:lang w:eastAsia="lt-LT"/>
        </w:rPr>
      </w:pPr>
    </w:p>
    <w:p w:rsidR="00B02BE6" w:rsidRDefault="00B02BE6" w:rsidP="00B02BE6">
      <w:pPr>
        <w:jc w:val="center"/>
        <w:rPr>
          <w:b/>
          <w:bCs/>
          <w:szCs w:val="24"/>
          <w:lang w:eastAsia="lt-LT"/>
        </w:rPr>
      </w:pPr>
      <w:r>
        <w:rPr>
          <w:b/>
          <w:bCs/>
          <w:szCs w:val="24"/>
          <w:lang w:eastAsia="lt-LT"/>
        </w:rPr>
        <w:t>VI SKYRIUS</w:t>
      </w:r>
    </w:p>
    <w:p w:rsidR="00B02BE6" w:rsidRDefault="00B02BE6" w:rsidP="0001668E">
      <w:pPr>
        <w:jc w:val="center"/>
        <w:rPr>
          <w:b/>
          <w:bCs/>
          <w:szCs w:val="24"/>
          <w:lang w:eastAsia="lt-LT"/>
        </w:rPr>
      </w:pPr>
      <w:r>
        <w:rPr>
          <w:b/>
          <w:bCs/>
          <w:szCs w:val="24"/>
          <w:lang w:eastAsia="lt-LT"/>
        </w:rPr>
        <w:t>METODIKOS ATNAUJINIMAS</w:t>
      </w:r>
    </w:p>
    <w:p w:rsidR="00B02BE6" w:rsidRPr="00B02BE6" w:rsidRDefault="00B02BE6" w:rsidP="00B02BE6">
      <w:pPr>
        <w:rPr>
          <w:b/>
          <w:bCs/>
          <w:szCs w:val="24"/>
          <w:lang w:eastAsia="lt-LT"/>
        </w:rPr>
      </w:pPr>
    </w:p>
    <w:p w:rsidR="0001668E" w:rsidRPr="00641662" w:rsidRDefault="0001668E" w:rsidP="001279BF">
      <w:pPr>
        <w:pStyle w:val="Sraopastraipa"/>
        <w:numPr>
          <w:ilvl w:val="0"/>
          <w:numId w:val="14"/>
        </w:numPr>
        <w:ind w:left="0" w:firstLine="720"/>
        <w:jc w:val="both"/>
        <w:rPr>
          <w:rFonts w:ascii="Times New Roman" w:hAnsi="Times New Roman" w:cs="Times New Roman"/>
          <w:sz w:val="24"/>
          <w:szCs w:val="24"/>
          <w:lang w:eastAsia="lt-LT"/>
        </w:rPr>
      </w:pPr>
      <w:r w:rsidRPr="00641662">
        <w:rPr>
          <w:rFonts w:ascii="Times New Roman" w:hAnsi="Times New Roman" w:cs="Times New Roman"/>
          <w:sz w:val="24"/>
          <w:szCs w:val="24"/>
          <w:lang w:eastAsia="lt-LT"/>
        </w:rPr>
        <w:t>Vystantis rizikos valdymo procesui, Metodika turi būti reguliariai peržiūrima, patikslinama ir atnaujinama siekiant užtikrinti Metodikos aktualumą ir atitiktį Administracijos poreikiams.</w:t>
      </w:r>
    </w:p>
    <w:p w:rsidR="0001668E" w:rsidRPr="00641662" w:rsidRDefault="0001668E" w:rsidP="001279BF">
      <w:pPr>
        <w:pStyle w:val="Sraopastraipa"/>
        <w:numPr>
          <w:ilvl w:val="0"/>
          <w:numId w:val="14"/>
        </w:numPr>
        <w:ind w:left="0" w:firstLine="720"/>
        <w:jc w:val="both"/>
        <w:rPr>
          <w:rFonts w:ascii="Times New Roman" w:hAnsi="Times New Roman" w:cs="Times New Roman"/>
          <w:sz w:val="24"/>
          <w:szCs w:val="24"/>
          <w:lang w:eastAsia="lt-LT"/>
        </w:rPr>
      </w:pPr>
      <w:r w:rsidRPr="00641662">
        <w:rPr>
          <w:rFonts w:ascii="Times New Roman" w:hAnsi="Times New Roman" w:cs="Times New Roman"/>
          <w:sz w:val="24"/>
          <w:szCs w:val="24"/>
          <w:lang w:eastAsia="lt-LT"/>
        </w:rPr>
        <w:t xml:space="preserve">Už Metodikos atnaujinimą atsakinga Darbo grupė. Metodika atnaujinama pagal poreikį kasmetinio rizikos valdymo proceso ciklo metu nustatytų tobulintinų sričių pagrindu. Pasiūlymus ir rekomendacijas dėl Metodikos tobulinimo suformuluoja ir Administracijos vadovybei </w:t>
      </w:r>
      <w:r w:rsidR="004C3ACC" w:rsidRPr="00641662">
        <w:rPr>
          <w:rFonts w:ascii="Times New Roman" w:hAnsi="Times New Roman" w:cs="Times New Roman"/>
          <w:sz w:val="24"/>
          <w:szCs w:val="24"/>
          <w:lang w:eastAsia="lt-LT"/>
        </w:rPr>
        <w:t xml:space="preserve">svarstyti pateikia Darbo grupė. Administracijos vadovybei išsakius savo pastabas dėl pateiktų pasiūlymų ir rekomendacijų, Darbo grupė atnaujina Metodiką ir pateikia dokumento projektą Administracijos vadovybei galutinai peržiūrėti ir pritarti. </w:t>
      </w:r>
    </w:p>
    <w:p w:rsidR="00B02BE6" w:rsidRDefault="004C3ACC" w:rsidP="00B02BE6">
      <w:pPr>
        <w:jc w:val="center"/>
        <w:rPr>
          <w:b/>
          <w:bCs/>
          <w:szCs w:val="24"/>
          <w:lang w:eastAsia="lt-LT"/>
        </w:rPr>
      </w:pPr>
      <w:r>
        <w:rPr>
          <w:b/>
          <w:bCs/>
          <w:szCs w:val="24"/>
          <w:lang w:eastAsia="lt-LT"/>
        </w:rPr>
        <w:t>_________________</w:t>
      </w:r>
    </w:p>
    <w:p w:rsidR="00B02BE6" w:rsidRPr="00B02BE6" w:rsidRDefault="00B02BE6" w:rsidP="00B02BE6">
      <w:pPr>
        <w:rPr>
          <w:b/>
          <w:bCs/>
          <w:szCs w:val="24"/>
          <w:lang w:eastAsia="lt-LT"/>
        </w:rPr>
      </w:pPr>
    </w:p>
    <w:p w:rsidR="00DE6D7C" w:rsidRPr="00DE6D7C" w:rsidRDefault="00DE6D7C" w:rsidP="00DE6D7C">
      <w:pPr>
        <w:rPr>
          <w:szCs w:val="24"/>
          <w:lang w:eastAsia="lt-LT"/>
        </w:rPr>
      </w:pPr>
    </w:p>
    <w:p w:rsidR="00067679" w:rsidRPr="00C24A55" w:rsidRDefault="00067679" w:rsidP="00C95E14">
      <w:pPr>
        <w:pStyle w:val="Sraopastraipa"/>
        <w:rPr>
          <w:rFonts w:ascii="Times New Roman" w:hAnsi="Times New Roman" w:cs="Times New Roman"/>
          <w:sz w:val="24"/>
          <w:szCs w:val="24"/>
          <w:lang w:eastAsia="lt-LT"/>
        </w:rPr>
      </w:pPr>
    </w:p>
    <w:p w:rsidR="00797259" w:rsidRPr="00797259" w:rsidRDefault="00797259" w:rsidP="00797259">
      <w:pPr>
        <w:jc w:val="center"/>
        <w:rPr>
          <w:szCs w:val="28"/>
          <w:lang w:eastAsia="lt-LT"/>
        </w:rPr>
      </w:pPr>
    </w:p>
    <w:p w:rsidR="00E31AE7" w:rsidRDefault="00E31AE7" w:rsidP="00E31AE7">
      <w:pPr>
        <w:rPr>
          <w:szCs w:val="28"/>
          <w:lang w:eastAsia="lt-LT"/>
        </w:rPr>
      </w:pPr>
    </w:p>
    <w:p w:rsidR="00E31AE7" w:rsidRDefault="00E31AE7" w:rsidP="00E31AE7">
      <w:pPr>
        <w:rPr>
          <w:szCs w:val="28"/>
          <w:lang w:eastAsia="lt-LT"/>
        </w:rPr>
      </w:pPr>
    </w:p>
    <w:p w:rsidR="00E31AE7" w:rsidRDefault="00E31AE7" w:rsidP="00E31AE7">
      <w:pPr>
        <w:rPr>
          <w:szCs w:val="28"/>
          <w:lang w:eastAsia="lt-LT"/>
        </w:rPr>
      </w:pPr>
    </w:p>
    <w:p w:rsidR="00E31AE7" w:rsidRDefault="00E31AE7" w:rsidP="00E31AE7">
      <w:pPr>
        <w:rPr>
          <w:szCs w:val="28"/>
          <w:lang w:eastAsia="lt-LT"/>
        </w:rPr>
      </w:pPr>
    </w:p>
    <w:p w:rsidR="00E31AE7" w:rsidRDefault="00E31AE7" w:rsidP="00E31AE7">
      <w:pPr>
        <w:rPr>
          <w:szCs w:val="28"/>
          <w:lang w:eastAsia="lt-LT"/>
        </w:rPr>
      </w:pPr>
    </w:p>
    <w:p w:rsidR="00E31AE7" w:rsidRDefault="00E31AE7" w:rsidP="00E31AE7">
      <w:pPr>
        <w:rPr>
          <w:szCs w:val="28"/>
          <w:lang w:eastAsia="lt-LT"/>
        </w:rPr>
      </w:pPr>
    </w:p>
    <w:p w:rsidR="00E31AE7" w:rsidRDefault="00E31AE7" w:rsidP="00E31AE7">
      <w:pPr>
        <w:rPr>
          <w:szCs w:val="28"/>
          <w:lang w:eastAsia="lt-LT"/>
        </w:rPr>
      </w:pPr>
    </w:p>
    <w:p w:rsidR="00E31AE7" w:rsidRDefault="00E31AE7" w:rsidP="00E31AE7">
      <w:pPr>
        <w:rPr>
          <w:szCs w:val="28"/>
          <w:lang w:eastAsia="lt-LT"/>
        </w:rPr>
      </w:pPr>
    </w:p>
    <w:p w:rsidR="00E31AE7" w:rsidRDefault="00E31AE7" w:rsidP="00E31AE7">
      <w:pPr>
        <w:rPr>
          <w:szCs w:val="28"/>
          <w:lang w:eastAsia="lt-LT"/>
        </w:rPr>
      </w:pPr>
    </w:p>
    <w:p w:rsidR="00FD79D4" w:rsidRDefault="00FD79D4" w:rsidP="00E31AE7">
      <w:pPr>
        <w:rPr>
          <w:szCs w:val="28"/>
          <w:lang w:eastAsia="lt-LT"/>
        </w:rPr>
        <w:sectPr w:rsidR="00FD79D4" w:rsidSect="0093320C">
          <w:headerReference w:type="even" r:id="rId12"/>
          <w:headerReference w:type="default" r:id="rId13"/>
          <w:footerReference w:type="even" r:id="rId14"/>
          <w:footerReference w:type="default" r:id="rId15"/>
          <w:headerReference w:type="first" r:id="rId16"/>
          <w:footerReference w:type="first" r:id="rId17"/>
          <w:pgSz w:w="11906" w:h="16838" w:code="9"/>
          <w:pgMar w:top="993" w:right="567" w:bottom="993" w:left="1701" w:header="560" w:footer="686" w:gutter="0"/>
          <w:pgNumType w:start="1"/>
          <w:cols w:space="1296"/>
          <w:formProt w:val="0"/>
          <w:titlePg/>
        </w:sectPr>
      </w:pPr>
    </w:p>
    <w:p w:rsidR="000B66D8" w:rsidRDefault="000B66D8" w:rsidP="000B66D8">
      <w:pPr>
        <w:widowControl w:val="0"/>
        <w:suppressAutoHyphens/>
        <w:ind w:left="9072"/>
      </w:pPr>
      <w:r w:rsidRPr="00415DA9">
        <w:lastRenderedPageBreak/>
        <w:t xml:space="preserve">Kokybės vadybos sistemos rizikų </w:t>
      </w:r>
      <w:r>
        <w:t>ir galimybių analizės</w:t>
      </w:r>
      <w:r w:rsidRPr="00415DA9">
        <w:t xml:space="preserve"> </w:t>
      </w:r>
    </w:p>
    <w:p w:rsidR="000B66D8" w:rsidRDefault="000B66D8" w:rsidP="000B66D8">
      <w:pPr>
        <w:widowControl w:val="0"/>
        <w:suppressAutoHyphens/>
        <w:ind w:left="7776" w:firstLine="1296"/>
      </w:pPr>
      <w:r w:rsidRPr="00415DA9">
        <w:t xml:space="preserve">metodikos įgyvendinimo Švenčionių rajono </w:t>
      </w:r>
    </w:p>
    <w:p w:rsidR="000B66D8" w:rsidRDefault="000B66D8" w:rsidP="000B66D8">
      <w:pPr>
        <w:widowControl w:val="0"/>
        <w:suppressAutoHyphens/>
        <w:ind w:left="7776" w:firstLine="1296"/>
        <w:rPr>
          <w:kern w:val="1"/>
        </w:rPr>
      </w:pPr>
      <w:r w:rsidRPr="00415DA9">
        <w:t>savivaldybės administracijoje tvark</w:t>
      </w:r>
      <w:r>
        <w:t>os</w:t>
      </w:r>
      <w:r w:rsidRPr="00415DA9">
        <w:t xml:space="preserve"> apraš</w:t>
      </w:r>
      <w:r>
        <w:t>o</w:t>
      </w:r>
    </w:p>
    <w:p w:rsidR="00FD79D4" w:rsidRPr="00372A8A" w:rsidRDefault="00FD79D4" w:rsidP="000B66D8">
      <w:pPr>
        <w:widowControl w:val="0"/>
        <w:suppressAutoHyphens/>
        <w:ind w:left="9072"/>
        <w:rPr>
          <w:kern w:val="1"/>
        </w:rPr>
      </w:pPr>
      <w:r w:rsidRPr="00372A8A">
        <w:rPr>
          <w:kern w:val="1"/>
        </w:rPr>
        <w:t>1 priedas</w:t>
      </w:r>
    </w:p>
    <w:p w:rsidR="00FD79D4" w:rsidRPr="00372A8A" w:rsidRDefault="00FD79D4" w:rsidP="000B66D8">
      <w:pPr>
        <w:widowControl w:val="0"/>
        <w:suppressAutoHyphens/>
        <w:rPr>
          <w:kern w:val="1"/>
        </w:rPr>
      </w:pPr>
    </w:p>
    <w:p w:rsidR="00FD79D4" w:rsidRPr="00372A8A" w:rsidRDefault="00FD79D4" w:rsidP="00FD79D4">
      <w:pPr>
        <w:widowControl w:val="0"/>
        <w:suppressAutoHyphens/>
        <w:jc w:val="center"/>
        <w:rPr>
          <w:b/>
          <w:bCs/>
          <w:kern w:val="1"/>
        </w:rPr>
      </w:pPr>
      <w:r w:rsidRPr="00372A8A">
        <w:rPr>
          <w:b/>
          <w:bCs/>
          <w:kern w:val="1"/>
        </w:rPr>
        <w:t>(Rizikos veiksnių (faktorių) registro forma)</w:t>
      </w:r>
    </w:p>
    <w:p w:rsidR="00FD79D4" w:rsidRPr="00372A8A" w:rsidRDefault="00FD79D4" w:rsidP="00FD79D4">
      <w:pPr>
        <w:widowControl w:val="0"/>
        <w:suppressAutoHyphens/>
        <w:jc w:val="center"/>
        <w:rPr>
          <w:kern w:val="1"/>
        </w:rPr>
      </w:pPr>
    </w:p>
    <w:p w:rsidR="00FD79D4" w:rsidRPr="00372A8A" w:rsidRDefault="00FD79D4" w:rsidP="00FD79D4">
      <w:pPr>
        <w:widowControl w:val="0"/>
        <w:suppressAutoHyphens/>
        <w:jc w:val="center"/>
        <w:rPr>
          <w:b/>
          <w:bCs/>
          <w:kern w:val="1"/>
        </w:rPr>
      </w:pPr>
      <w:r w:rsidRPr="00372A8A">
        <w:rPr>
          <w:b/>
          <w:bCs/>
          <w:kern w:val="1"/>
        </w:rPr>
        <w:t>RIZIKOS VEIKSNIŲ (FAKTORIŲ) REGISTRAS</w:t>
      </w:r>
    </w:p>
    <w:p w:rsidR="00FD79D4" w:rsidRPr="00372A8A" w:rsidRDefault="00FD79D4" w:rsidP="00FD79D4">
      <w:pPr>
        <w:widowControl w:val="0"/>
        <w:suppressAutoHyphens/>
        <w:rPr>
          <w:b/>
          <w:bCs/>
          <w:kern w:val="1"/>
        </w:rPr>
      </w:pPr>
    </w:p>
    <w:tbl>
      <w:tblPr>
        <w:tblW w:w="0" w:type="auto"/>
        <w:tblInd w:w="55" w:type="dxa"/>
        <w:tblLayout w:type="fixed"/>
        <w:tblCellMar>
          <w:top w:w="55" w:type="dxa"/>
          <w:left w:w="55" w:type="dxa"/>
          <w:bottom w:w="55" w:type="dxa"/>
          <w:right w:w="55" w:type="dxa"/>
        </w:tblCellMar>
        <w:tblLook w:val="0000"/>
      </w:tblPr>
      <w:tblGrid>
        <w:gridCol w:w="628"/>
        <w:gridCol w:w="2111"/>
        <w:gridCol w:w="1609"/>
        <w:gridCol w:w="1321"/>
        <w:gridCol w:w="1694"/>
        <w:gridCol w:w="1664"/>
        <w:gridCol w:w="1831"/>
        <w:gridCol w:w="2040"/>
        <w:gridCol w:w="2239"/>
      </w:tblGrid>
      <w:tr w:rsidR="00FD79D4" w:rsidRPr="00372A8A" w:rsidTr="00640FC3">
        <w:tc>
          <w:tcPr>
            <w:tcW w:w="628" w:type="dxa"/>
            <w:tcBorders>
              <w:top w:val="single" w:sz="8" w:space="0" w:color="000000"/>
              <w:left w:val="single" w:sz="8" w:space="0" w:color="000000"/>
              <w:bottom w:val="single" w:sz="8" w:space="0" w:color="000000"/>
            </w:tcBorders>
            <w:vAlign w:val="center"/>
          </w:tcPr>
          <w:p w:rsidR="00FD79D4" w:rsidRPr="00372A8A" w:rsidRDefault="00FD79D4" w:rsidP="00640FC3">
            <w:pPr>
              <w:widowControl w:val="0"/>
              <w:suppressAutoHyphens/>
              <w:jc w:val="center"/>
              <w:rPr>
                <w:b/>
                <w:bCs/>
                <w:kern w:val="1"/>
              </w:rPr>
            </w:pPr>
            <w:r w:rsidRPr="00372A8A">
              <w:rPr>
                <w:b/>
                <w:bCs/>
                <w:kern w:val="1"/>
                <w:sz w:val="22"/>
              </w:rPr>
              <w:t>Eil. Nr.</w:t>
            </w:r>
          </w:p>
        </w:tc>
        <w:tc>
          <w:tcPr>
            <w:tcW w:w="2111" w:type="dxa"/>
            <w:tcBorders>
              <w:top w:val="single" w:sz="8" w:space="0" w:color="000000"/>
              <w:left w:val="single" w:sz="8" w:space="0" w:color="000000"/>
              <w:bottom w:val="single" w:sz="8" w:space="0" w:color="000000"/>
            </w:tcBorders>
            <w:vAlign w:val="center"/>
          </w:tcPr>
          <w:p w:rsidR="00FD79D4" w:rsidRPr="00372A8A" w:rsidRDefault="00FD79D4" w:rsidP="00640FC3">
            <w:pPr>
              <w:widowControl w:val="0"/>
              <w:suppressAutoHyphens/>
              <w:jc w:val="center"/>
              <w:rPr>
                <w:kern w:val="1"/>
              </w:rPr>
            </w:pPr>
            <w:r w:rsidRPr="00372A8A">
              <w:rPr>
                <w:kern w:val="1"/>
                <w:sz w:val="22"/>
              </w:rPr>
              <w:t>Trumpas rizikos veiksnio (faktoriaus) apibūdinimas *</w:t>
            </w:r>
          </w:p>
        </w:tc>
        <w:tc>
          <w:tcPr>
            <w:tcW w:w="1609" w:type="dxa"/>
            <w:tcBorders>
              <w:top w:val="single" w:sz="8" w:space="0" w:color="000000"/>
              <w:left w:val="single" w:sz="8" w:space="0" w:color="000000"/>
              <w:bottom w:val="single" w:sz="8" w:space="0" w:color="000000"/>
            </w:tcBorders>
            <w:vAlign w:val="center"/>
          </w:tcPr>
          <w:p w:rsidR="00FD79D4" w:rsidRPr="00372A8A" w:rsidRDefault="00FD79D4" w:rsidP="00640FC3">
            <w:pPr>
              <w:widowControl w:val="0"/>
              <w:suppressAutoHyphens/>
              <w:jc w:val="center"/>
              <w:rPr>
                <w:kern w:val="1"/>
              </w:rPr>
            </w:pPr>
            <w:r w:rsidRPr="00372A8A">
              <w:rPr>
                <w:kern w:val="1"/>
                <w:sz w:val="22"/>
              </w:rPr>
              <w:t>Organizacinis vienetas **</w:t>
            </w:r>
          </w:p>
        </w:tc>
        <w:tc>
          <w:tcPr>
            <w:tcW w:w="1321" w:type="dxa"/>
            <w:tcBorders>
              <w:top w:val="single" w:sz="8" w:space="0" w:color="000000"/>
              <w:left w:val="single" w:sz="8" w:space="0" w:color="000000"/>
              <w:bottom w:val="single" w:sz="8" w:space="0" w:color="000000"/>
            </w:tcBorders>
            <w:vAlign w:val="center"/>
          </w:tcPr>
          <w:p w:rsidR="00FD79D4" w:rsidRPr="00372A8A" w:rsidRDefault="00FD79D4" w:rsidP="00640FC3">
            <w:pPr>
              <w:widowControl w:val="0"/>
              <w:suppressAutoHyphens/>
              <w:jc w:val="center"/>
              <w:rPr>
                <w:kern w:val="1"/>
              </w:rPr>
            </w:pPr>
            <w:r w:rsidRPr="00372A8A">
              <w:rPr>
                <w:kern w:val="1"/>
                <w:sz w:val="22"/>
              </w:rPr>
              <w:t>Rizikos nustatymo data ***</w:t>
            </w:r>
          </w:p>
        </w:tc>
        <w:tc>
          <w:tcPr>
            <w:tcW w:w="1694" w:type="dxa"/>
            <w:tcBorders>
              <w:top w:val="single" w:sz="8" w:space="0" w:color="000000"/>
              <w:left w:val="single" w:sz="8" w:space="0" w:color="000000"/>
              <w:bottom w:val="single" w:sz="8" w:space="0" w:color="000000"/>
            </w:tcBorders>
            <w:vAlign w:val="center"/>
          </w:tcPr>
          <w:p w:rsidR="00FD79D4" w:rsidRPr="00372A8A" w:rsidRDefault="00FD79D4" w:rsidP="00640FC3">
            <w:pPr>
              <w:widowControl w:val="0"/>
              <w:suppressAutoHyphens/>
              <w:jc w:val="center"/>
              <w:rPr>
                <w:kern w:val="1"/>
              </w:rPr>
            </w:pPr>
            <w:r w:rsidRPr="00372A8A">
              <w:rPr>
                <w:kern w:val="1"/>
                <w:sz w:val="22"/>
              </w:rPr>
              <w:t>Rizikos apibūdinimas ****</w:t>
            </w:r>
          </w:p>
        </w:tc>
        <w:tc>
          <w:tcPr>
            <w:tcW w:w="1664" w:type="dxa"/>
            <w:tcBorders>
              <w:top w:val="single" w:sz="8" w:space="0" w:color="000000"/>
              <w:left w:val="single" w:sz="8" w:space="0" w:color="000000"/>
              <w:bottom w:val="single" w:sz="8" w:space="0" w:color="000000"/>
            </w:tcBorders>
            <w:vAlign w:val="center"/>
          </w:tcPr>
          <w:p w:rsidR="00FD79D4" w:rsidRPr="00372A8A" w:rsidRDefault="00FD79D4" w:rsidP="00640FC3">
            <w:pPr>
              <w:widowControl w:val="0"/>
              <w:suppressAutoHyphens/>
              <w:jc w:val="center"/>
              <w:rPr>
                <w:kern w:val="1"/>
              </w:rPr>
            </w:pPr>
            <w:r w:rsidRPr="00372A8A">
              <w:rPr>
                <w:kern w:val="1"/>
                <w:sz w:val="22"/>
              </w:rPr>
              <w:t>Rizikos įvertinimas – tikimybė *****</w:t>
            </w:r>
          </w:p>
        </w:tc>
        <w:tc>
          <w:tcPr>
            <w:tcW w:w="1831" w:type="dxa"/>
            <w:tcBorders>
              <w:top w:val="single" w:sz="8" w:space="0" w:color="000000"/>
              <w:left w:val="single" w:sz="8" w:space="0" w:color="000000"/>
              <w:bottom w:val="single" w:sz="8" w:space="0" w:color="000000"/>
            </w:tcBorders>
            <w:vAlign w:val="center"/>
          </w:tcPr>
          <w:p w:rsidR="00FD79D4" w:rsidRPr="00372A8A" w:rsidRDefault="00FD79D4" w:rsidP="00640FC3">
            <w:pPr>
              <w:widowControl w:val="0"/>
              <w:suppressAutoHyphens/>
              <w:jc w:val="center"/>
              <w:rPr>
                <w:kern w:val="1"/>
              </w:rPr>
            </w:pPr>
            <w:r w:rsidRPr="00372A8A">
              <w:rPr>
                <w:kern w:val="1"/>
                <w:sz w:val="22"/>
              </w:rPr>
              <w:t>Rizikos įvertinimas – poveikis ******</w:t>
            </w:r>
          </w:p>
        </w:tc>
        <w:tc>
          <w:tcPr>
            <w:tcW w:w="2040" w:type="dxa"/>
            <w:tcBorders>
              <w:top w:val="single" w:sz="8" w:space="0" w:color="000000"/>
              <w:left w:val="single" w:sz="8" w:space="0" w:color="000000"/>
              <w:bottom w:val="single" w:sz="8" w:space="0" w:color="000000"/>
            </w:tcBorders>
            <w:vAlign w:val="center"/>
          </w:tcPr>
          <w:p w:rsidR="00FD79D4" w:rsidRPr="00372A8A" w:rsidRDefault="00FD79D4" w:rsidP="00640FC3">
            <w:pPr>
              <w:widowControl w:val="0"/>
              <w:suppressAutoHyphens/>
              <w:jc w:val="center"/>
              <w:rPr>
                <w:kern w:val="1"/>
              </w:rPr>
            </w:pPr>
            <w:r w:rsidRPr="00372A8A">
              <w:rPr>
                <w:kern w:val="1"/>
                <w:sz w:val="22"/>
              </w:rPr>
              <w:t>Rizikos pasireiškimo laikotarpis *******</w:t>
            </w:r>
          </w:p>
        </w:tc>
        <w:tc>
          <w:tcPr>
            <w:tcW w:w="2239" w:type="dxa"/>
            <w:tcBorders>
              <w:top w:val="single" w:sz="8" w:space="0" w:color="000000"/>
              <w:left w:val="single" w:sz="8" w:space="0" w:color="000000"/>
              <w:bottom w:val="single" w:sz="8" w:space="0" w:color="000000"/>
              <w:right w:val="single" w:sz="8" w:space="0" w:color="000000"/>
            </w:tcBorders>
            <w:vAlign w:val="center"/>
          </w:tcPr>
          <w:p w:rsidR="00FD79D4" w:rsidRPr="00372A8A" w:rsidRDefault="00FD79D4" w:rsidP="00640FC3">
            <w:pPr>
              <w:widowControl w:val="0"/>
              <w:suppressAutoHyphens/>
              <w:jc w:val="center"/>
              <w:rPr>
                <w:kern w:val="1"/>
              </w:rPr>
            </w:pPr>
            <w:r w:rsidRPr="00372A8A">
              <w:rPr>
                <w:kern w:val="1"/>
                <w:sz w:val="22"/>
              </w:rPr>
              <w:t>Galimos rizikos sumažinimo priemonės ********</w:t>
            </w:r>
          </w:p>
        </w:tc>
      </w:tr>
      <w:tr w:rsidR="00FD79D4" w:rsidRPr="00372A8A" w:rsidTr="00640FC3">
        <w:tc>
          <w:tcPr>
            <w:tcW w:w="628"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r w:rsidRPr="00372A8A">
              <w:rPr>
                <w:kern w:val="1"/>
                <w:sz w:val="22"/>
              </w:rPr>
              <w:t>1</w:t>
            </w:r>
          </w:p>
        </w:tc>
        <w:tc>
          <w:tcPr>
            <w:tcW w:w="211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r w:rsidRPr="00372A8A">
              <w:rPr>
                <w:kern w:val="1"/>
                <w:sz w:val="22"/>
              </w:rPr>
              <w:t>2</w:t>
            </w:r>
          </w:p>
        </w:tc>
        <w:tc>
          <w:tcPr>
            <w:tcW w:w="1609"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r w:rsidRPr="00372A8A">
              <w:rPr>
                <w:kern w:val="1"/>
                <w:sz w:val="22"/>
              </w:rPr>
              <w:t>3</w:t>
            </w:r>
          </w:p>
        </w:tc>
        <w:tc>
          <w:tcPr>
            <w:tcW w:w="132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r w:rsidRPr="00372A8A">
              <w:rPr>
                <w:kern w:val="1"/>
                <w:sz w:val="22"/>
              </w:rPr>
              <w:t>4</w:t>
            </w:r>
          </w:p>
        </w:tc>
        <w:tc>
          <w:tcPr>
            <w:tcW w:w="1694"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r w:rsidRPr="00372A8A">
              <w:rPr>
                <w:kern w:val="1"/>
                <w:sz w:val="22"/>
              </w:rPr>
              <w:t>5</w:t>
            </w:r>
          </w:p>
        </w:tc>
        <w:tc>
          <w:tcPr>
            <w:tcW w:w="1664"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r w:rsidRPr="00372A8A">
              <w:rPr>
                <w:kern w:val="1"/>
                <w:sz w:val="22"/>
              </w:rPr>
              <w:t>6</w:t>
            </w:r>
          </w:p>
        </w:tc>
        <w:tc>
          <w:tcPr>
            <w:tcW w:w="183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r w:rsidRPr="00372A8A">
              <w:rPr>
                <w:kern w:val="1"/>
                <w:sz w:val="22"/>
              </w:rPr>
              <w:t>7</w:t>
            </w:r>
          </w:p>
        </w:tc>
        <w:tc>
          <w:tcPr>
            <w:tcW w:w="2040"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r w:rsidRPr="00372A8A">
              <w:rPr>
                <w:kern w:val="1"/>
                <w:sz w:val="22"/>
              </w:rPr>
              <w:t>8</w:t>
            </w:r>
          </w:p>
        </w:tc>
        <w:tc>
          <w:tcPr>
            <w:tcW w:w="2239" w:type="dxa"/>
            <w:tcBorders>
              <w:left w:val="single" w:sz="8" w:space="0" w:color="000000"/>
              <w:bottom w:val="single" w:sz="8" w:space="0" w:color="000000"/>
              <w:right w:val="single" w:sz="8" w:space="0" w:color="000000"/>
            </w:tcBorders>
          </w:tcPr>
          <w:p w:rsidR="00FD79D4" w:rsidRPr="00372A8A" w:rsidRDefault="00FD79D4" w:rsidP="00640FC3">
            <w:pPr>
              <w:widowControl w:val="0"/>
              <w:suppressLineNumbers/>
              <w:suppressAutoHyphens/>
              <w:jc w:val="center"/>
              <w:rPr>
                <w:kern w:val="1"/>
              </w:rPr>
            </w:pPr>
            <w:r w:rsidRPr="00372A8A">
              <w:rPr>
                <w:kern w:val="1"/>
                <w:sz w:val="22"/>
              </w:rPr>
              <w:t>9</w:t>
            </w:r>
          </w:p>
        </w:tc>
      </w:tr>
      <w:tr w:rsidR="00FD79D4" w:rsidRPr="00372A8A" w:rsidTr="00640FC3">
        <w:tc>
          <w:tcPr>
            <w:tcW w:w="628"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211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609"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32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694"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664"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83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2040"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2239" w:type="dxa"/>
            <w:tcBorders>
              <w:left w:val="single" w:sz="8" w:space="0" w:color="000000"/>
              <w:bottom w:val="single" w:sz="8" w:space="0" w:color="000000"/>
              <w:right w:val="single" w:sz="8" w:space="0" w:color="000000"/>
            </w:tcBorders>
          </w:tcPr>
          <w:p w:rsidR="00FD79D4" w:rsidRPr="00372A8A" w:rsidRDefault="00FD79D4" w:rsidP="00640FC3">
            <w:pPr>
              <w:widowControl w:val="0"/>
              <w:suppressLineNumbers/>
              <w:suppressAutoHyphens/>
              <w:jc w:val="center"/>
              <w:rPr>
                <w:kern w:val="1"/>
              </w:rPr>
            </w:pPr>
          </w:p>
        </w:tc>
      </w:tr>
      <w:tr w:rsidR="00FD79D4" w:rsidRPr="00372A8A" w:rsidTr="00640FC3">
        <w:tc>
          <w:tcPr>
            <w:tcW w:w="628"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211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609"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32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694"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664"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83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2040"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2239" w:type="dxa"/>
            <w:tcBorders>
              <w:left w:val="single" w:sz="8" w:space="0" w:color="000000"/>
              <w:bottom w:val="single" w:sz="8" w:space="0" w:color="000000"/>
              <w:right w:val="single" w:sz="8" w:space="0" w:color="000000"/>
            </w:tcBorders>
          </w:tcPr>
          <w:p w:rsidR="00FD79D4" w:rsidRPr="00372A8A" w:rsidRDefault="00FD79D4" w:rsidP="00640FC3">
            <w:pPr>
              <w:widowControl w:val="0"/>
              <w:suppressLineNumbers/>
              <w:suppressAutoHyphens/>
              <w:jc w:val="center"/>
              <w:rPr>
                <w:kern w:val="1"/>
              </w:rPr>
            </w:pPr>
          </w:p>
        </w:tc>
      </w:tr>
      <w:tr w:rsidR="00FD79D4" w:rsidRPr="00372A8A" w:rsidTr="00640FC3">
        <w:tc>
          <w:tcPr>
            <w:tcW w:w="628"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211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609"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32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694"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664"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1831"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2040" w:type="dxa"/>
            <w:tcBorders>
              <w:left w:val="single" w:sz="8" w:space="0" w:color="000000"/>
              <w:bottom w:val="single" w:sz="8" w:space="0" w:color="000000"/>
            </w:tcBorders>
          </w:tcPr>
          <w:p w:rsidR="00FD79D4" w:rsidRPr="00372A8A" w:rsidRDefault="00FD79D4" w:rsidP="00640FC3">
            <w:pPr>
              <w:widowControl w:val="0"/>
              <w:suppressLineNumbers/>
              <w:suppressAutoHyphens/>
              <w:jc w:val="center"/>
              <w:rPr>
                <w:kern w:val="1"/>
              </w:rPr>
            </w:pPr>
          </w:p>
        </w:tc>
        <w:tc>
          <w:tcPr>
            <w:tcW w:w="2239" w:type="dxa"/>
            <w:tcBorders>
              <w:left w:val="single" w:sz="8" w:space="0" w:color="000000"/>
              <w:bottom w:val="single" w:sz="8" w:space="0" w:color="000000"/>
              <w:right w:val="single" w:sz="8" w:space="0" w:color="000000"/>
            </w:tcBorders>
          </w:tcPr>
          <w:p w:rsidR="00FD79D4" w:rsidRPr="00372A8A" w:rsidRDefault="00FD79D4" w:rsidP="00640FC3">
            <w:pPr>
              <w:widowControl w:val="0"/>
              <w:suppressLineNumbers/>
              <w:suppressAutoHyphens/>
              <w:jc w:val="center"/>
              <w:rPr>
                <w:kern w:val="1"/>
              </w:rPr>
            </w:pPr>
          </w:p>
        </w:tc>
      </w:tr>
    </w:tbl>
    <w:p w:rsidR="00FD79D4" w:rsidRPr="00372A8A" w:rsidRDefault="00FD79D4" w:rsidP="00FD79D4">
      <w:pPr>
        <w:widowControl w:val="0"/>
        <w:suppressAutoHyphens/>
        <w:jc w:val="center"/>
        <w:rPr>
          <w:kern w:val="1"/>
        </w:rPr>
      </w:pPr>
    </w:p>
    <w:p w:rsidR="00FD79D4" w:rsidRPr="00372A8A" w:rsidRDefault="00FD79D4" w:rsidP="00FD79D4">
      <w:pPr>
        <w:widowControl w:val="0"/>
        <w:tabs>
          <w:tab w:val="left" w:pos="1680"/>
        </w:tabs>
        <w:suppressAutoHyphens/>
        <w:jc w:val="both"/>
        <w:rPr>
          <w:kern w:val="1"/>
          <w:sz w:val="22"/>
        </w:rPr>
      </w:pPr>
      <w:r w:rsidRPr="00372A8A">
        <w:rPr>
          <w:kern w:val="1"/>
          <w:sz w:val="22"/>
        </w:rPr>
        <w:t>*</w:t>
      </w:r>
      <w:r w:rsidRPr="00372A8A">
        <w:rPr>
          <w:kern w:val="1"/>
          <w:sz w:val="22"/>
        </w:rPr>
        <w:tab/>
        <w:t xml:space="preserve">– Trumpas nustatytos rizikos (faktoriaus apibūdinimas (pavyzdžiui, „Darbuotojų kaita X </w:t>
      </w:r>
      <w:r w:rsidR="001F7E03">
        <w:rPr>
          <w:kern w:val="1"/>
          <w:sz w:val="22"/>
        </w:rPr>
        <w:t xml:space="preserve">padalinyje </w:t>
      </w:r>
      <w:r w:rsidRPr="00372A8A">
        <w:rPr>
          <w:kern w:val="1"/>
          <w:sz w:val="22"/>
        </w:rPr>
        <w:t xml:space="preserve"> didesnė kaip Y proc.“).</w:t>
      </w:r>
    </w:p>
    <w:p w:rsidR="00FD79D4" w:rsidRPr="00372A8A" w:rsidRDefault="00FD79D4" w:rsidP="00FD79D4">
      <w:pPr>
        <w:widowControl w:val="0"/>
        <w:tabs>
          <w:tab w:val="left" w:pos="1680"/>
        </w:tabs>
        <w:suppressAutoHyphens/>
        <w:jc w:val="both"/>
        <w:rPr>
          <w:kern w:val="1"/>
          <w:sz w:val="22"/>
        </w:rPr>
      </w:pPr>
      <w:r w:rsidRPr="00372A8A">
        <w:rPr>
          <w:kern w:val="1"/>
          <w:sz w:val="22"/>
        </w:rPr>
        <w:t>**</w:t>
      </w:r>
      <w:r w:rsidRPr="00372A8A">
        <w:rPr>
          <w:kern w:val="1"/>
          <w:sz w:val="22"/>
        </w:rPr>
        <w:tab/>
        <w:t>– Organizacinio vieneto (</w:t>
      </w:r>
      <w:r w:rsidR="001F7E03">
        <w:rPr>
          <w:kern w:val="1"/>
          <w:sz w:val="22"/>
        </w:rPr>
        <w:t>padalinio</w:t>
      </w:r>
      <w:r w:rsidRPr="00372A8A">
        <w:rPr>
          <w:kern w:val="1"/>
          <w:sz w:val="22"/>
        </w:rPr>
        <w:t xml:space="preserve"> ar pan.), nustačiusio riziką, pavadinimas.</w:t>
      </w:r>
    </w:p>
    <w:p w:rsidR="00FD79D4" w:rsidRPr="00372A8A" w:rsidRDefault="00FD79D4" w:rsidP="00FD79D4">
      <w:pPr>
        <w:widowControl w:val="0"/>
        <w:tabs>
          <w:tab w:val="left" w:pos="1680"/>
        </w:tabs>
        <w:suppressAutoHyphens/>
        <w:jc w:val="both"/>
        <w:rPr>
          <w:kern w:val="1"/>
          <w:sz w:val="22"/>
        </w:rPr>
      </w:pPr>
      <w:r w:rsidRPr="00372A8A">
        <w:rPr>
          <w:kern w:val="1"/>
          <w:sz w:val="22"/>
        </w:rPr>
        <w:t>***</w:t>
      </w:r>
      <w:r w:rsidRPr="00372A8A">
        <w:rPr>
          <w:kern w:val="1"/>
          <w:sz w:val="22"/>
        </w:rPr>
        <w:tab/>
        <w:t>– Data, kada rizika buvo nustatyta ir įvertinta pirmą kartą.</w:t>
      </w:r>
    </w:p>
    <w:p w:rsidR="00FD79D4" w:rsidRPr="00372A8A" w:rsidRDefault="00FD79D4" w:rsidP="00FD79D4">
      <w:pPr>
        <w:widowControl w:val="0"/>
        <w:tabs>
          <w:tab w:val="left" w:pos="1680"/>
        </w:tabs>
        <w:suppressAutoHyphens/>
        <w:jc w:val="both"/>
        <w:rPr>
          <w:kern w:val="1"/>
          <w:sz w:val="22"/>
        </w:rPr>
      </w:pPr>
      <w:r w:rsidRPr="00372A8A">
        <w:rPr>
          <w:kern w:val="1"/>
          <w:sz w:val="22"/>
        </w:rPr>
        <w:t>****</w:t>
      </w:r>
      <w:r w:rsidRPr="00372A8A">
        <w:rPr>
          <w:kern w:val="1"/>
          <w:sz w:val="22"/>
        </w:rPr>
        <w:tab/>
        <w:t>– Išsamesnis rizikos apibūdinimas rizikos supratimui ir analizei – aplinkybės, su kuriomis siejamas rizikos atsiradimas, galimos rizikos poveikio sritys, vystymosi tendencijos (didesnė arba mažesnė pasireiškimo tikimybė ir poveikis ateityje) ir pan.</w:t>
      </w:r>
    </w:p>
    <w:p w:rsidR="00FD79D4" w:rsidRPr="00372A8A" w:rsidRDefault="00FD79D4" w:rsidP="00FD79D4">
      <w:pPr>
        <w:widowControl w:val="0"/>
        <w:tabs>
          <w:tab w:val="left" w:pos="1680"/>
        </w:tabs>
        <w:suppressAutoHyphens/>
        <w:jc w:val="both"/>
        <w:rPr>
          <w:kern w:val="1"/>
          <w:sz w:val="22"/>
        </w:rPr>
      </w:pPr>
      <w:r w:rsidRPr="00372A8A">
        <w:rPr>
          <w:kern w:val="1"/>
          <w:sz w:val="22"/>
        </w:rPr>
        <w:t>*****</w:t>
      </w:r>
      <w:r w:rsidRPr="00372A8A">
        <w:rPr>
          <w:kern w:val="1"/>
          <w:sz w:val="22"/>
        </w:rPr>
        <w:tab/>
        <w:t xml:space="preserve">– Rizikos tikimybės įvertinimas pagal </w:t>
      </w:r>
      <w:r w:rsidR="00386241">
        <w:rPr>
          <w:kern w:val="1"/>
          <w:sz w:val="22"/>
        </w:rPr>
        <w:t xml:space="preserve">Administracijos </w:t>
      </w:r>
      <w:r w:rsidR="00755F8E">
        <w:rPr>
          <w:kern w:val="1"/>
          <w:sz w:val="22"/>
        </w:rPr>
        <w:t>rizikų analizės metodikoje</w:t>
      </w:r>
      <w:r w:rsidRPr="00372A8A">
        <w:rPr>
          <w:kern w:val="1"/>
          <w:sz w:val="22"/>
        </w:rPr>
        <w:t xml:space="preserve"> aprašytą 5 balų vertinimo skalę. Nurodomas tikimybės įvertinimo balas. Vertinant atsižvelgiama į šiuo metu labiausiai tikėtiną įvykių raidą ir aplinkybes.</w:t>
      </w:r>
    </w:p>
    <w:p w:rsidR="00FD79D4" w:rsidRPr="00372A8A" w:rsidRDefault="00FD79D4" w:rsidP="00FD79D4">
      <w:pPr>
        <w:widowControl w:val="0"/>
        <w:tabs>
          <w:tab w:val="left" w:pos="1680"/>
        </w:tabs>
        <w:suppressAutoHyphens/>
        <w:jc w:val="both"/>
        <w:rPr>
          <w:kern w:val="1"/>
          <w:sz w:val="22"/>
        </w:rPr>
      </w:pPr>
      <w:r w:rsidRPr="00372A8A">
        <w:rPr>
          <w:kern w:val="1"/>
          <w:sz w:val="22"/>
        </w:rPr>
        <w:t>******</w:t>
      </w:r>
      <w:r w:rsidRPr="00372A8A">
        <w:rPr>
          <w:kern w:val="1"/>
          <w:sz w:val="22"/>
        </w:rPr>
        <w:tab/>
        <w:t xml:space="preserve">– Rizikos poveikio įvertinimas pagal </w:t>
      </w:r>
      <w:r w:rsidR="00755F8E">
        <w:rPr>
          <w:kern w:val="1"/>
          <w:sz w:val="22"/>
        </w:rPr>
        <w:t xml:space="preserve">Administracijos rizikų analizės </w:t>
      </w:r>
      <w:r w:rsidR="00095101">
        <w:rPr>
          <w:kern w:val="1"/>
          <w:sz w:val="22"/>
        </w:rPr>
        <w:t xml:space="preserve">metodikoje </w:t>
      </w:r>
      <w:r w:rsidRPr="00372A8A">
        <w:rPr>
          <w:kern w:val="1"/>
          <w:sz w:val="22"/>
        </w:rPr>
        <w:t>aprašytą 5 balų vertinimo skalę. Nurodomas rizikos poveikio įvertinimo balas. Vertinant atsižvelgiama į rizikos poveikį tikslo pasiekimo ar užduoties įgyvendinimo trukmei, veiklos efektyvumui, sąnaudoms (lėšų panaudojimo efektyvumui), veiklos kokybei.</w:t>
      </w:r>
    </w:p>
    <w:p w:rsidR="00FD79D4" w:rsidRPr="00372A8A" w:rsidRDefault="00FD79D4" w:rsidP="00FD79D4">
      <w:pPr>
        <w:widowControl w:val="0"/>
        <w:tabs>
          <w:tab w:val="left" w:pos="1680"/>
        </w:tabs>
        <w:suppressAutoHyphens/>
        <w:jc w:val="both"/>
        <w:rPr>
          <w:kern w:val="1"/>
          <w:sz w:val="22"/>
        </w:rPr>
      </w:pPr>
      <w:r w:rsidRPr="00372A8A">
        <w:rPr>
          <w:kern w:val="1"/>
          <w:sz w:val="22"/>
        </w:rPr>
        <w:t>*******</w:t>
      </w:r>
      <w:r w:rsidRPr="00372A8A">
        <w:rPr>
          <w:kern w:val="1"/>
          <w:sz w:val="22"/>
        </w:rPr>
        <w:tab/>
        <w:t>– Laikotarpis, kurio metu numatomas nustatytos rizikos pasireiškimas – šiuo metu, ateityje (nurodomas konkretus laikotarpis ir jo trukmė), įvykus tam tikram įvykiui ar pasireiškus kitai rizikai ir pan. Taip pat nurodoma, kaip laikas daro įtaką rizikos tikimybės ir poveikio įvertinimui.</w:t>
      </w:r>
    </w:p>
    <w:p w:rsidR="008D1B1C" w:rsidRDefault="00FD79D4" w:rsidP="00FD79D4">
      <w:pPr>
        <w:widowControl w:val="0"/>
        <w:tabs>
          <w:tab w:val="left" w:pos="1680"/>
        </w:tabs>
        <w:suppressAutoHyphens/>
        <w:jc w:val="both"/>
        <w:rPr>
          <w:kern w:val="1"/>
          <w:sz w:val="22"/>
        </w:rPr>
      </w:pPr>
      <w:r w:rsidRPr="00372A8A">
        <w:rPr>
          <w:kern w:val="1"/>
          <w:sz w:val="22"/>
        </w:rPr>
        <w:t>********</w:t>
      </w:r>
      <w:r w:rsidRPr="00372A8A">
        <w:rPr>
          <w:kern w:val="1"/>
          <w:sz w:val="22"/>
        </w:rPr>
        <w:tab/>
        <w:t>– Trumpai aprašomos galimos rizikos sumažinimo priemonės pagrindžiant, kokios teigiamos įtakos vertinimai rizikai turės siūloma rizikos valdymo priemonė (pavyzdžiui, „Parengus naują mokymo programą sutrumpėtų naujų darbuotojų apmokymų trukmė“)</w:t>
      </w:r>
    </w:p>
    <w:p w:rsidR="008D1B1C" w:rsidRDefault="008D1B1C" w:rsidP="00FD79D4">
      <w:pPr>
        <w:widowControl w:val="0"/>
        <w:tabs>
          <w:tab w:val="left" w:pos="1680"/>
        </w:tabs>
        <w:suppressAutoHyphens/>
        <w:jc w:val="both"/>
        <w:rPr>
          <w:kern w:val="1"/>
          <w:sz w:val="22"/>
        </w:rPr>
      </w:pPr>
    </w:p>
    <w:p w:rsidR="008D1B1C" w:rsidRDefault="008D1B1C" w:rsidP="00FD79D4">
      <w:pPr>
        <w:widowControl w:val="0"/>
        <w:tabs>
          <w:tab w:val="left" w:pos="1680"/>
        </w:tabs>
        <w:suppressAutoHyphens/>
        <w:jc w:val="both"/>
        <w:rPr>
          <w:kern w:val="1"/>
          <w:sz w:val="22"/>
        </w:rPr>
        <w:sectPr w:rsidR="008D1B1C" w:rsidSect="00FD79D4">
          <w:pgSz w:w="16838" w:h="11906" w:orient="landscape" w:code="9"/>
          <w:pgMar w:top="1701" w:right="993" w:bottom="567" w:left="993" w:header="560" w:footer="686" w:gutter="0"/>
          <w:pgNumType w:start="1"/>
          <w:cols w:space="1296"/>
          <w:formProt w:val="0"/>
          <w:titlePg/>
          <w:docGrid w:linePitch="326"/>
        </w:sectPr>
      </w:pPr>
    </w:p>
    <w:p w:rsidR="004D2C39" w:rsidRPr="00372A8A" w:rsidRDefault="004D2C39" w:rsidP="00095101">
      <w:pPr>
        <w:suppressAutoHyphens/>
      </w:pPr>
      <w:bookmarkStart w:id="2" w:name="_Hlk43447633"/>
    </w:p>
    <w:p w:rsidR="00E67D37" w:rsidRDefault="00E67D37" w:rsidP="00E67D37">
      <w:pPr>
        <w:widowControl w:val="0"/>
        <w:suppressAutoHyphens/>
        <w:ind w:left="9072"/>
      </w:pPr>
      <w:r w:rsidRPr="00415DA9">
        <w:t xml:space="preserve">Kokybės vadybos sistemos rizikų </w:t>
      </w:r>
      <w:r>
        <w:t>ir galimybių analizės</w:t>
      </w:r>
      <w:r w:rsidRPr="00415DA9">
        <w:t xml:space="preserve"> </w:t>
      </w:r>
    </w:p>
    <w:p w:rsidR="00E67D37" w:rsidRDefault="00E67D37" w:rsidP="00E67D37">
      <w:pPr>
        <w:widowControl w:val="0"/>
        <w:suppressAutoHyphens/>
        <w:ind w:left="7776" w:firstLine="1296"/>
      </w:pPr>
      <w:r w:rsidRPr="00415DA9">
        <w:t xml:space="preserve">metodikos įgyvendinimo Švenčionių rajono </w:t>
      </w:r>
    </w:p>
    <w:p w:rsidR="00E67D37" w:rsidRDefault="00E67D37" w:rsidP="00E67D37">
      <w:pPr>
        <w:widowControl w:val="0"/>
        <w:suppressAutoHyphens/>
        <w:ind w:left="7776" w:firstLine="1296"/>
        <w:rPr>
          <w:kern w:val="1"/>
        </w:rPr>
      </w:pPr>
      <w:r w:rsidRPr="00415DA9">
        <w:t>savivaldybės administracijoje tvark</w:t>
      </w:r>
      <w:r>
        <w:t>os</w:t>
      </w:r>
      <w:r w:rsidRPr="00415DA9">
        <w:t xml:space="preserve"> apraš</w:t>
      </w:r>
      <w:r>
        <w:t>o</w:t>
      </w:r>
    </w:p>
    <w:p w:rsidR="00E67D37" w:rsidRPr="00372A8A" w:rsidRDefault="00E67D37" w:rsidP="00E67D37">
      <w:pPr>
        <w:widowControl w:val="0"/>
        <w:suppressAutoHyphens/>
        <w:ind w:left="9072"/>
        <w:rPr>
          <w:kern w:val="1"/>
        </w:rPr>
      </w:pPr>
      <w:r>
        <w:rPr>
          <w:kern w:val="1"/>
        </w:rPr>
        <w:t>2</w:t>
      </w:r>
      <w:r w:rsidRPr="00372A8A">
        <w:rPr>
          <w:kern w:val="1"/>
        </w:rPr>
        <w:t xml:space="preserve"> priedas</w:t>
      </w:r>
    </w:p>
    <w:p w:rsidR="004D2C39" w:rsidRPr="00372A8A" w:rsidRDefault="004D2C39" w:rsidP="004D2C39">
      <w:pPr>
        <w:suppressAutoHyphens/>
      </w:pPr>
    </w:p>
    <w:p w:rsidR="004D2C39" w:rsidRPr="00372A8A" w:rsidRDefault="00095101" w:rsidP="004D2C39">
      <w:pPr>
        <w:suppressAutoHyphens/>
        <w:jc w:val="center"/>
        <w:rPr>
          <w:b/>
        </w:rPr>
      </w:pPr>
      <w:r>
        <w:rPr>
          <w:b/>
        </w:rPr>
        <w:t>ŠVENČIONIŲ RAJONO SAVIVALDYBĖS ADMINISTRACIJOS</w:t>
      </w:r>
      <w:r w:rsidR="004D2C39" w:rsidRPr="00372A8A">
        <w:rPr>
          <w:b/>
        </w:rPr>
        <w:t xml:space="preserve"> RIZIKOS VEIKSNIŲ (FAKTORIŲ) PAVYZDŽIAI</w:t>
      </w:r>
    </w:p>
    <w:p w:rsidR="004D2C39" w:rsidRPr="00372A8A" w:rsidRDefault="004D2C39" w:rsidP="004D2C39">
      <w:pPr>
        <w:suppressAutoHyphens/>
        <w:jc w:val="both"/>
      </w:pPr>
    </w:p>
    <w:p w:rsidR="004D2C39" w:rsidRPr="00372A8A" w:rsidRDefault="004D2C39" w:rsidP="004D2C39">
      <w:pPr>
        <w:suppressAutoHyphens/>
        <w:ind w:firstLine="567"/>
        <w:jc w:val="both"/>
      </w:pPr>
      <w:r w:rsidRPr="00372A8A">
        <w:t>1. Neefektyvus veiklos planavimo ir kontrolės procesas.</w:t>
      </w:r>
    </w:p>
    <w:p w:rsidR="004D2C39" w:rsidRPr="00372A8A" w:rsidRDefault="004D2C39" w:rsidP="004D2C39">
      <w:pPr>
        <w:suppressAutoHyphens/>
        <w:ind w:firstLine="567"/>
        <w:jc w:val="both"/>
      </w:pPr>
      <w:r w:rsidRPr="00372A8A">
        <w:t>2. Nenustatyti objektyvūs ir tikslūs veiklos vertinimo kriterijai.</w:t>
      </w:r>
    </w:p>
    <w:p w:rsidR="004D2C39" w:rsidRPr="00372A8A" w:rsidRDefault="004D2C39" w:rsidP="004D2C39">
      <w:pPr>
        <w:suppressAutoHyphens/>
        <w:ind w:firstLine="567"/>
        <w:jc w:val="both"/>
      </w:pPr>
      <w:r w:rsidRPr="00372A8A">
        <w:t>3. Nustatyti veiklos vertinimo kriterijai neužtikrina optimalių rezultatų.</w:t>
      </w:r>
    </w:p>
    <w:p w:rsidR="004D2C39" w:rsidRPr="00372A8A" w:rsidRDefault="004D2C39" w:rsidP="004D2C39">
      <w:pPr>
        <w:suppressAutoHyphens/>
        <w:ind w:firstLine="567"/>
        <w:jc w:val="both"/>
      </w:pPr>
      <w:r w:rsidRPr="00372A8A">
        <w:t>4. Didelis nestruktūrizuotų valdymo ataskaitų skaičius.</w:t>
      </w:r>
    </w:p>
    <w:p w:rsidR="004D2C39" w:rsidRPr="00372A8A" w:rsidRDefault="004D2C39" w:rsidP="004D2C39">
      <w:pPr>
        <w:suppressAutoHyphens/>
        <w:ind w:firstLine="567"/>
        <w:jc w:val="both"/>
      </w:pPr>
      <w:r w:rsidRPr="00372A8A">
        <w:t xml:space="preserve">5. Nepakankama (atsakingų darbuotojų) vadybinė kompetencija. </w:t>
      </w:r>
    </w:p>
    <w:p w:rsidR="004D2C39" w:rsidRPr="00372A8A" w:rsidRDefault="004D2C39" w:rsidP="004D2C39">
      <w:pPr>
        <w:suppressAutoHyphens/>
        <w:ind w:firstLine="567"/>
        <w:jc w:val="both"/>
      </w:pPr>
      <w:r w:rsidRPr="00372A8A">
        <w:t xml:space="preserve">6. Neveiksmingas </w:t>
      </w:r>
      <w:r w:rsidR="000C72D6">
        <w:t xml:space="preserve">įstaigos </w:t>
      </w:r>
      <w:r w:rsidRPr="00372A8A">
        <w:t>valdymo sistemos atgalinis ryšys.</w:t>
      </w:r>
    </w:p>
    <w:p w:rsidR="004D2C39" w:rsidRPr="00372A8A" w:rsidRDefault="004D2C39" w:rsidP="004D2C39">
      <w:pPr>
        <w:suppressAutoHyphens/>
        <w:ind w:firstLine="567"/>
        <w:jc w:val="both"/>
      </w:pPr>
      <w:r w:rsidRPr="00372A8A">
        <w:t>7. Lėtas sprendimų priėmimo procesas.</w:t>
      </w:r>
    </w:p>
    <w:p w:rsidR="004D2C39" w:rsidRPr="00372A8A" w:rsidRDefault="004D2C39" w:rsidP="004D2C39">
      <w:pPr>
        <w:suppressAutoHyphens/>
        <w:ind w:firstLine="567"/>
        <w:jc w:val="both"/>
      </w:pPr>
      <w:r w:rsidRPr="00372A8A">
        <w:t>8. Netinkamai valdomi organizaciniai pokyčiai.</w:t>
      </w:r>
    </w:p>
    <w:p w:rsidR="004D2C39" w:rsidRPr="00372A8A" w:rsidRDefault="004D2C39" w:rsidP="004D2C39">
      <w:pPr>
        <w:suppressAutoHyphens/>
        <w:ind w:firstLine="567"/>
        <w:jc w:val="both"/>
      </w:pPr>
      <w:r w:rsidRPr="00372A8A">
        <w:t>9. Neaiškus ir / arba neoptimalus funkcijų pasiskirstymas, neaiškios atsakomybės ribos.</w:t>
      </w:r>
    </w:p>
    <w:p w:rsidR="004D2C39" w:rsidRPr="00372A8A" w:rsidRDefault="004D2C39" w:rsidP="004D2C39">
      <w:pPr>
        <w:suppressAutoHyphens/>
        <w:ind w:firstLine="567"/>
        <w:jc w:val="both"/>
      </w:pPr>
      <w:r w:rsidRPr="00372A8A">
        <w:t>10. Neefektyvūs ir / arba nevaldomi veiklos procesai.</w:t>
      </w:r>
    </w:p>
    <w:p w:rsidR="004D2C39" w:rsidRPr="00372A8A" w:rsidRDefault="004D2C39" w:rsidP="004D2C39">
      <w:pPr>
        <w:suppressAutoHyphens/>
        <w:ind w:firstLine="567"/>
        <w:jc w:val="both"/>
      </w:pPr>
      <w:r w:rsidRPr="00372A8A">
        <w:t>11. Nepakankamai aprašyti procesai ir atskiros procedūros.</w:t>
      </w:r>
    </w:p>
    <w:p w:rsidR="004D2C39" w:rsidRPr="00372A8A" w:rsidRDefault="004D2C39" w:rsidP="004D2C39">
      <w:pPr>
        <w:suppressAutoHyphens/>
        <w:ind w:firstLine="567"/>
        <w:jc w:val="both"/>
      </w:pPr>
      <w:r w:rsidRPr="00372A8A">
        <w:t xml:space="preserve">12. Neunifikuoti veiklos procesai </w:t>
      </w:r>
      <w:r w:rsidR="00214181">
        <w:t xml:space="preserve">savivaldybės </w:t>
      </w:r>
      <w:r w:rsidR="004324A0">
        <w:t>padalinių</w:t>
      </w:r>
      <w:r w:rsidRPr="00372A8A">
        <w:t xml:space="preserve"> lygmeniu.</w:t>
      </w:r>
    </w:p>
    <w:p w:rsidR="004D2C39" w:rsidRPr="00372A8A" w:rsidRDefault="004D2C39" w:rsidP="004D2C39">
      <w:pPr>
        <w:suppressAutoHyphens/>
        <w:ind w:firstLine="567"/>
        <w:jc w:val="both"/>
      </w:pPr>
      <w:r w:rsidRPr="00372A8A">
        <w:t>13. Suteikti įgaliojimai neatitinka pareigybei keliamų reikalavimų.</w:t>
      </w:r>
    </w:p>
    <w:p w:rsidR="004D2C39" w:rsidRPr="00372A8A" w:rsidRDefault="004D2C39" w:rsidP="004D2C39">
      <w:pPr>
        <w:suppressAutoHyphens/>
        <w:ind w:firstLine="567"/>
        <w:jc w:val="both"/>
      </w:pPr>
      <w:r w:rsidRPr="00372A8A">
        <w:t>14. Neefektyvus vidinis ir išorinis komunikavimas.</w:t>
      </w:r>
    </w:p>
    <w:p w:rsidR="004D2C39" w:rsidRPr="00372A8A" w:rsidRDefault="004D2C39" w:rsidP="004D2C39">
      <w:pPr>
        <w:suppressAutoHyphens/>
        <w:ind w:firstLine="567"/>
        <w:jc w:val="both"/>
      </w:pPr>
      <w:r w:rsidRPr="00372A8A">
        <w:t>15. Tinkamos kvalifikacijos darbuotojų stoka darbo rinkoje.</w:t>
      </w:r>
    </w:p>
    <w:p w:rsidR="004D2C39" w:rsidRPr="00372A8A" w:rsidRDefault="004D2C39" w:rsidP="004D2C39">
      <w:pPr>
        <w:suppressAutoHyphens/>
        <w:ind w:firstLine="567"/>
        <w:jc w:val="both"/>
      </w:pPr>
      <w:r w:rsidRPr="00372A8A">
        <w:t>16. Ribotos galimybės iškilus poreikiui įdarbinti reikiamos kvalifikacijos darbuotojus.</w:t>
      </w:r>
    </w:p>
    <w:p w:rsidR="004D2C39" w:rsidRPr="00372A8A" w:rsidRDefault="004D2C39" w:rsidP="004D2C39">
      <w:pPr>
        <w:suppressAutoHyphens/>
        <w:ind w:firstLine="567"/>
        <w:jc w:val="both"/>
      </w:pPr>
      <w:r w:rsidRPr="00372A8A">
        <w:t>17. Darbuotojų kaita.</w:t>
      </w:r>
    </w:p>
    <w:p w:rsidR="004D2C39" w:rsidRPr="00372A8A" w:rsidRDefault="004D2C39" w:rsidP="004D2C39">
      <w:pPr>
        <w:suppressAutoHyphens/>
        <w:ind w:firstLine="567"/>
        <w:jc w:val="both"/>
      </w:pPr>
      <w:r w:rsidRPr="00372A8A">
        <w:t>18. Neveiksminga darbuotojų motyvacijos sistema.</w:t>
      </w:r>
    </w:p>
    <w:p w:rsidR="004D2C39" w:rsidRPr="00372A8A" w:rsidRDefault="004D2C39" w:rsidP="004D2C39">
      <w:pPr>
        <w:suppressAutoHyphens/>
        <w:ind w:firstLine="567"/>
        <w:jc w:val="both"/>
      </w:pPr>
      <w:r w:rsidRPr="00372A8A">
        <w:t>19. Karjeros planavimo stoka.</w:t>
      </w:r>
    </w:p>
    <w:p w:rsidR="004D2C39" w:rsidRPr="00372A8A" w:rsidRDefault="004D2C39" w:rsidP="004D2C39">
      <w:pPr>
        <w:suppressAutoHyphens/>
        <w:ind w:firstLine="567"/>
        <w:jc w:val="both"/>
      </w:pPr>
      <w:r w:rsidRPr="00372A8A">
        <w:t>20. Neefektyvi darbuotojų mokymų ir kvalifikacijos kėlimo sistema.</w:t>
      </w:r>
    </w:p>
    <w:p w:rsidR="004D2C39" w:rsidRPr="00372A8A" w:rsidRDefault="004D2C39" w:rsidP="004D2C39">
      <w:pPr>
        <w:suppressAutoHyphens/>
        <w:ind w:firstLine="567"/>
        <w:jc w:val="both"/>
      </w:pPr>
      <w:r w:rsidRPr="00372A8A">
        <w:t>21. Neefektyvus informacinių sistemų vystymo planavimas.</w:t>
      </w:r>
    </w:p>
    <w:p w:rsidR="004D2C39" w:rsidRPr="00372A8A" w:rsidRDefault="004D2C39" w:rsidP="004D2C39">
      <w:pPr>
        <w:suppressAutoHyphens/>
        <w:ind w:firstLine="567"/>
        <w:jc w:val="both"/>
      </w:pPr>
      <w:r w:rsidRPr="00372A8A">
        <w:t>22. Informacinės sistemos neužtikrina reikalingo pagrindinių veiklos procesų palaikymo.</w:t>
      </w:r>
    </w:p>
    <w:p w:rsidR="004D2C39" w:rsidRPr="00372A8A" w:rsidRDefault="004D2C39" w:rsidP="004D2C39">
      <w:pPr>
        <w:suppressAutoHyphens/>
        <w:ind w:firstLine="567"/>
        <w:jc w:val="both"/>
      </w:pPr>
      <w:r w:rsidRPr="00372A8A">
        <w:t>23. Netinkamai organizuojamas ir valdomas informacinių technologijų sprendimų diegimas, palaikymas.</w:t>
      </w:r>
    </w:p>
    <w:p w:rsidR="004D2C39" w:rsidRPr="00372A8A" w:rsidRDefault="004D2C39" w:rsidP="004D2C39">
      <w:pPr>
        <w:suppressAutoHyphens/>
        <w:ind w:firstLine="567"/>
        <w:jc w:val="both"/>
      </w:pPr>
      <w:r w:rsidRPr="00372A8A">
        <w:t>24. Nepakankamas informacinių sistemų vartotojų aptarnavimas.</w:t>
      </w:r>
    </w:p>
    <w:p w:rsidR="004D2C39" w:rsidRPr="00372A8A" w:rsidRDefault="004D2C39" w:rsidP="004D2C39">
      <w:pPr>
        <w:suppressAutoHyphens/>
        <w:ind w:firstLine="567"/>
        <w:jc w:val="both"/>
      </w:pPr>
      <w:r w:rsidRPr="00372A8A">
        <w:t>25. Neužtikrintas informacinių sistemų ir duomenų saugumas.</w:t>
      </w:r>
    </w:p>
    <w:p w:rsidR="004D2C39" w:rsidRPr="00372A8A" w:rsidRDefault="004D2C39" w:rsidP="004D2C39">
      <w:pPr>
        <w:suppressAutoHyphens/>
        <w:ind w:firstLine="567"/>
        <w:jc w:val="both"/>
      </w:pPr>
      <w:r w:rsidRPr="00372A8A">
        <w:lastRenderedPageBreak/>
        <w:t>26. Nelanksti informacinių technologijų ir duomenų architektūra.</w:t>
      </w:r>
    </w:p>
    <w:p w:rsidR="004D2C39" w:rsidRPr="00372A8A" w:rsidRDefault="004D2C39" w:rsidP="004D2C39">
      <w:pPr>
        <w:suppressAutoHyphens/>
        <w:ind w:firstLine="567"/>
        <w:jc w:val="both"/>
      </w:pPr>
      <w:r w:rsidRPr="00372A8A">
        <w:t xml:space="preserve">27. Teisės aktų, reglamentuojančių </w:t>
      </w:r>
      <w:r w:rsidR="000C72D6">
        <w:t xml:space="preserve">įstaigos </w:t>
      </w:r>
      <w:r w:rsidRPr="00372A8A">
        <w:t>veiklą apskritai ir atskiras jos funkcijas, reikalavimų pažeidimas.</w:t>
      </w:r>
    </w:p>
    <w:p w:rsidR="004D2C39" w:rsidRPr="00372A8A" w:rsidRDefault="004D2C39" w:rsidP="004D2C39">
      <w:pPr>
        <w:suppressAutoHyphens/>
        <w:ind w:firstLine="567"/>
        <w:jc w:val="both"/>
      </w:pPr>
      <w:r w:rsidRPr="00372A8A">
        <w:t>28. Nepakankamas programų finansavimas.</w:t>
      </w:r>
    </w:p>
    <w:p w:rsidR="004D2C39" w:rsidRPr="00372A8A" w:rsidRDefault="004D2C39" w:rsidP="004D2C39">
      <w:pPr>
        <w:suppressAutoHyphens/>
        <w:ind w:firstLine="567"/>
        <w:jc w:val="both"/>
      </w:pPr>
      <w:r w:rsidRPr="00372A8A">
        <w:t>29. Neefektyvus projektų valdymas.</w:t>
      </w:r>
    </w:p>
    <w:p w:rsidR="004D2C39" w:rsidRPr="00372A8A" w:rsidRDefault="004D2C39" w:rsidP="004D2C39">
      <w:pPr>
        <w:suppressAutoHyphens/>
        <w:ind w:firstLine="567"/>
        <w:jc w:val="both"/>
      </w:pPr>
      <w:r w:rsidRPr="00372A8A">
        <w:t>30. Neefektyvūs viešieji pirkimai.</w:t>
      </w:r>
    </w:p>
    <w:p w:rsidR="004D2C39" w:rsidRPr="00372A8A" w:rsidRDefault="004D2C39" w:rsidP="004D2C39">
      <w:pPr>
        <w:suppressAutoHyphens/>
        <w:ind w:firstLine="567"/>
        <w:jc w:val="both"/>
      </w:pPr>
      <w:r w:rsidRPr="00372A8A">
        <w:t>31. Netinkamai sudarytos sutartys su paslaugų teikėjais ir prekių teikėjais.</w:t>
      </w:r>
    </w:p>
    <w:p w:rsidR="004D2C39" w:rsidRPr="00372A8A" w:rsidRDefault="004D2C39" w:rsidP="004D2C39">
      <w:pPr>
        <w:suppressAutoHyphens/>
        <w:ind w:firstLine="567"/>
        <w:jc w:val="both"/>
      </w:pPr>
      <w:r w:rsidRPr="00372A8A">
        <w:t>32. Korupcija.</w:t>
      </w:r>
    </w:p>
    <w:p w:rsidR="004D2C39" w:rsidRPr="00372A8A" w:rsidRDefault="004D2C39" w:rsidP="004D2C39">
      <w:pPr>
        <w:suppressAutoHyphens/>
        <w:ind w:firstLine="567"/>
        <w:jc w:val="both"/>
      </w:pPr>
      <w:r w:rsidRPr="00372A8A">
        <w:t>33. Darbų sauga.</w:t>
      </w:r>
    </w:p>
    <w:p w:rsidR="004D2C39" w:rsidRPr="00372A8A" w:rsidRDefault="004D2C39" w:rsidP="004D2C39">
      <w:pPr>
        <w:suppressAutoHyphens/>
        <w:ind w:firstLine="567"/>
        <w:jc w:val="both"/>
      </w:pPr>
      <w:r w:rsidRPr="00372A8A">
        <w:t>34. Stichinės nelaimės.</w:t>
      </w:r>
    </w:p>
    <w:p w:rsidR="008D1B1C" w:rsidRPr="00095101" w:rsidRDefault="004D2C39" w:rsidP="00095101">
      <w:pPr>
        <w:suppressAutoHyphens/>
        <w:ind w:firstLine="567"/>
        <w:jc w:val="both"/>
        <w:sectPr w:rsidR="008D1B1C" w:rsidRPr="00095101" w:rsidSect="00FD79D4">
          <w:pgSz w:w="16838" w:h="11906" w:orient="landscape" w:code="9"/>
          <w:pgMar w:top="1701" w:right="993" w:bottom="567" w:left="993" w:header="560" w:footer="686" w:gutter="0"/>
          <w:pgNumType w:start="1"/>
          <w:cols w:space="1296"/>
          <w:formProt w:val="0"/>
          <w:titlePg/>
          <w:docGrid w:linePitch="326"/>
        </w:sectPr>
      </w:pPr>
      <w:r w:rsidRPr="00372A8A">
        <w:t>35. Avarijos, nelaimingi atsitikimai.</w:t>
      </w:r>
      <w:bookmarkEnd w:id="2"/>
    </w:p>
    <w:p w:rsidR="00E67D37" w:rsidRDefault="00E67D37" w:rsidP="00E67D37">
      <w:pPr>
        <w:widowControl w:val="0"/>
        <w:suppressAutoHyphens/>
        <w:ind w:left="9072"/>
      </w:pPr>
      <w:bookmarkStart w:id="3" w:name="_Hlk43386259"/>
      <w:r w:rsidRPr="00415DA9">
        <w:lastRenderedPageBreak/>
        <w:t xml:space="preserve">Kokybės vadybos sistemos rizikų </w:t>
      </w:r>
      <w:r>
        <w:t>ir galimybių analizės</w:t>
      </w:r>
      <w:r w:rsidRPr="00415DA9">
        <w:t xml:space="preserve"> </w:t>
      </w:r>
    </w:p>
    <w:p w:rsidR="00E67D37" w:rsidRDefault="00E67D37" w:rsidP="00E67D37">
      <w:pPr>
        <w:widowControl w:val="0"/>
        <w:suppressAutoHyphens/>
        <w:ind w:left="7776" w:firstLine="1296"/>
      </w:pPr>
      <w:r w:rsidRPr="00415DA9">
        <w:t xml:space="preserve">metodikos įgyvendinimo Švenčionių rajono </w:t>
      </w:r>
    </w:p>
    <w:p w:rsidR="00E67D37" w:rsidRDefault="00E67D37" w:rsidP="00E67D37">
      <w:pPr>
        <w:widowControl w:val="0"/>
        <w:suppressAutoHyphens/>
        <w:ind w:left="7776" w:firstLine="1296"/>
        <w:rPr>
          <w:kern w:val="1"/>
        </w:rPr>
      </w:pPr>
      <w:r w:rsidRPr="00415DA9">
        <w:t>savivaldybės administracijoje tvark</w:t>
      </w:r>
      <w:r>
        <w:t>os</w:t>
      </w:r>
      <w:r w:rsidRPr="00415DA9">
        <w:t xml:space="preserve"> apraš</w:t>
      </w:r>
      <w:r>
        <w:t>o</w:t>
      </w:r>
    </w:p>
    <w:p w:rsidR="00E67D37" w:rsidRPr="00372A8A" w:rsidRDefault="00E67D37" w:rsidP="00E67D37">
      <w:pPr>
        <w:widowControl w:val="0"/>
        <w:suppressAutoHyphens/>
        <w:ind w:left="9072"/>
        <w:rPr>
          <w:kern w:val="1"/>
        </w:rPr>
      </w:pPr>
      <w:r>
        <w:rPr>
          <w:kern w:val="1"/>
        </w:rPr>
        <w:t>3</w:t>
      </w:r>
      <w:r w:rsidRPr="00372A8A">
        <w:rPr>
          <w:kern w:val="1"/>
        </w:rPr>
        <w:t xml:space="preserve"> priedas</w:t>
      </w:r>
    </w:p>
    <w:p w:rsidR="002614ED" w:rsidRPr="00372A8A" w:rsidRDefault="002614ED" w:rsidP="002614ED">
      <w:pPr>
        <w:suppressAutoHyphens/>
      </w:pPr>
    </w:p>
    <w:p w:rsidR="002614ED" w:rsidRPr="00372A8A" w:rsidRDefault="002614ED" w:rsidP="002614ED">
      <w:pPr>
        <w:suppressAutoHyphens/>
        <w:jc w:val="center"/>
        <w:rPr>
          <w:b/>
        </w:rPr>
      </w:pPr>
      <w:r w:rsidRPr="00095101">
        <w:rPr>
          <w:b/>
        </w:rPr>
        <w:t>RIZIKOS TIKIMYBĖS IR POVEIKIO ĮVERTINIMO SKALĖS</w:t>
      </w:r>
    </w:p>
    <w:p w:rsidR="002614ED" w:rsidRPr="00372A8A" w:rsidRDefault="002614ED" w:rsidP="002614ED">
      <w:pPr>
        <w:suppressAutoHyphens/>
      </w:pPr>
    </w:p>
    <w:tbl>
      <w:tblPr>
        <w:tblW w:w="0" w:type="auto"/>
        <w:tblInd w:w="128" w:type="dxa"/>
        <w:tblLayout w:type="fixed"/>
        <w:tblLook w:val="0000"/>
      </w:tblPr>
      <w:tblGrid>
        <w:gridCol w:w="3134"/>
        <w:gridCol w:w="3390"/>
        <w:gridCol w:w="2985"/>
        <w:gridCol w:w="3015"/>
        <w:gridCol w:w="2581"/>
      </w:tblGrid>
      <w:tr w:rsidR="002614ED" w:rsidRPr="00372A8A" w:rsidTr="00640FC3">
        <w:trPr>
          <w:trHeight w:val="74"/>
        </w:trPr>
        <w:tc>
          <w:tcPr>
            <w:tcW w:w="15105" w:type="dxa"/>
            <w:gridSpan w:val="5"/>
            <w:tcBorders>
              <w:top w:val="double" w:sz="1" w:space="0" w:color="000000"/>
              <w:left w:val="double" w:sz="1" w:space="0" w:color="000000"/>
              <w:bottom w:val="single" w:sz="4" w:space="0" w:color="000000"/>
              <w:right w:val="double" w:sz="1" w:space="0" w:color="000000"/>
            </w:tcBorders>
            <w:vAlign w:val="center"/>
          </w:tcPr>
          <w:p w:rsidR="002614ED" w:rsidRPr="00372A8A" w:rsidRDefault="002614ED" w:rsidP="00640FC3">
            <w:pPr>
              <w:suppressAutoHyphens/>
              <w:jc w:val="center"/>
              <w:rPr>
                <w:b/>
              </w:rPr>
            </w:pPr>
            <w:r w:rsidRPr="00372A8A">
              <w:rPr>
                <w:b/>
                <w:sz w:val="22"/>
              </w:rPr>
              <w:t>Tikimybės įvertinimas</w:t>
            </w:r>
          </w:p>
        </w:tc>
      </w:tr>
      <w:tr w:rsidR="002614ED" w:rsidRPr="00372A8A" w:rsidTr="00640FC3">
        <w:tc>
          <w:tcPr>
            <w:tcW w:w="3134" w:type="dxa"/>
            <w:tcBorders>
              <w:top w:val="single" w:sz="4" w:space="0" w:color="000000"/>
              <w:left w:val="double" w:sz="1" w:space="0" w:color="000000"/>
              <w:bottom w:val="single" w:sz="4" w:space="0" w:color="000000"/>
            </w:tcBorders>
          </w:tcPr>
          <w:p w:rsidR="002614ED" w:rsidRPr="00372A8A" w:rsidRDefault="002614ED" w:rsidP="00640FC3">
            <w:pPr>
              <w:suppressAutoHyphens/>
              <w:jc w:val="center"/>
              <w:rPr>
                <w:b/>
              </w:rPr>
            </w:pPr>
            <w:r w:rsidRPr="00372A8A">
              <w:rPr>
                <w:b/>
                <w:sz w:val="22"/>
              </w:rPr>
              <w:t>5</w:t>
            </w:r>
          </w:p>
        </w:tc>
        <w:tc>
          <w:tcPr>
            <w:tcW w:w="3390"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rPr>
                <w:b/>
              </w:rPr>
            </w:pPr>
            <w:r w:rsidRPr="00372A8A">
              <w:rPr>
                <w:b/>
                <w:sz w:val="22"/>
              </w:rPr>
              <w:t>4</w:t>
            </w:r>
          </w:p>
        </w:tc>
        <w:tc>
          <w:tcPr>
            <w:tcW w:w="2985"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rPr>
                <w:b/>
              </w:rPr>
            </w:pPr>
            <w:r w:rsidRPr="00372A8A">
              <w:rPr>
                <w:b/>
                <w:sz w:val="22"/>
              </w:rPr>
              <w:t>3</w:t>
            </w:r>
          </w:p>
        </w:tc>
        <w:tc>
          <w:tcPr>
            <w:tcW w:w="3015"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rPr>
                <w:b/>
              </w:rPr>
            </w:pPr>
            <w:r w:rsidRPr="00372A8A">
              <w:rPr>
                <w:b/>
                <w:sz w:val="22"/>
              </w:rPr>
              <w:t>2</w:t>
            </w:r>
          </w:p>
        </w:tc>
        <w:tc>
          <w:tcPr>
            <w:tcW w:w="2581" w:type="dxa"/>
            <w:tcBorders>
              <w:top w:val="single" w:sz="4" w:space="0" w:color="000000"/>
              <w:left w:val="single" w:sz="4" w:space="0" w:color="000000"/>
              <w:bottom w:val="single" w:sz="4" w:space="0" w:color="000000"/>
              <w:right w:val="double" w:sz="1" w:space="0" w:color="000000"/>
            </w:tcBorders>
          </w:tcPr>
          <w:p w:rsidR="002614ED" w:rsidRPr="00372A8A" w:rsidRDefault="002614ED" w:rsidP="00640FC3">
            <w:pPr>
              <w:suppressAutoHyphens/>
              <w:jc w:val="center"/>
              <w:rPr>
                <w:b/>
              </w:rPr>
            </w:pPr>
            <w:r w:rsidRPr="00372A8A">
              <w:rPr>
                <w:b/>
                <w:sz w:val="22"/>
              </w:rPr>
              <w:t>1</w:t>
            </w:r>
          </w:p>
        </w:tc>
      </w:tr>
      <w:tr w:rsidR="002614ED" w:rsidRPr="00372A8A" w:rsidTr="00640FC3">
        <w:tc>
          <w:tcPr>
            <w:tcW w:w="3134" w:type="dxa"/>
            <w:tcBorders>
              <w:top w:val="single" w:sz="4" w:space="0" w:color="000000"/>
              <w:left w:val="double" w:sz="1" w:space="0" w:color="000000"/>
              <w:bottom w:val="double" w:sz="1" w:space="0" w:color="000000"/>
            </w:tcBorders>
          </w:tcPr>
          <w:p w:rsidR="002614ED" w:rsidRPr="00372A8A" w:rsidRDefault="002614ED" w:rsidP="00640FC3">
            <w:pPr>
              <w:suppressAutoHyphens/>
              <w:jc w:val="center"/>
            </w:pPr>
            <w:r w:rsidRPr="00372A8A">
              <w:rPr>
                <w:sz w:val="22"/>
              </w:rPr>
              <w:t>Labai tikėtina (50–100 %)</w:t>
            </w:r>
          </w:p>
        </w:tc>
        <w:tc>
          <w:tcPr>
            <w:tcW w:w="3390" w:type="dxa"/>
            <w:tcBorders>
              <w:top w:val="single" w:sz="4" w:space="0" w:color="000000"/>
              <w:left w:val="single" w:sz="4" w:space="0" w:color="000000"/>
              <w:bottom w:val="double" w:sz="1" w:space="0" w:color="000000"/>
            </w:tcBorders>
          </w:tcPr>
          <w:p w:rsidR="002614ED" w:rsidRPr="00372A8A" w:rsidRDefault="002614ED" w:rsidP="00640FC3">
            <w:pPr>
              <w:suppressAutoHyphens/>
              <w:jc w:val="center"/>
            </w:pPr>
            <w:r w:rsidRPr="00372A8A">
              <w:rPr>
                <w:sz w:val="22"/>
              </w:rPr>
              <w:t>Gana tikėtina (20–50 %)</w:t>
            </w:r>
          </w:p>
        </w:tc>
        <w:tc>
          <w:tcPr>
            <w:tcW w:w="2985" w:type="dxa"/>
            <w:tcBorders>
              <w:top w:val="single" w:sz="4" w:space="0" w:color="000000"/>
              <w:left w:val="single" w:sz="4" w:space="0" w:color="000000"/>
              <w:bottom w:val="double" w:sz="1" w:space="0" w:color="000000"/>
            </w:tcBorders>
          </w:tcPr>
          <w:p w:rsidR="002614ED" w:rsidRPr="00372A8A" w:rsidRDefault="002614ED" w:rsidP="00640FC3">
            <w:pPr>
              <w:suppressAutoHyphens/>
              <w:jc w:val="center"/>
            </w:pPr>
            <w:r w:rsidRPr="00372A8A">
              <w:rPr>
                <w:sz w:val="22"/>
              </w:rPr>
              <w:t>Tikėtina (10–20 %)</w:t>
            </w:r>
          </w:p>
        </w:tc>
        <w:tc>
          <w:tcPr>
            <w:tcW w:w="3015" w:type="dxa"/>
            <w:tcBorders>
              <w:top w:val="single" w:sz="4" w:space="0" w:color="000000"/>
              <w:left w:val="single" w:sz="4" w:space="0" w:color="000000"/>
              <w:bottom w:val="double" w:sz="1" w:space="0" w:color="000000"/>
            </w:tcBorders>
          </w:tcPr>
          <w:p w:rsidR="002614ED" w:rsidRPr="00372A8A" w:rsidRDefault="002614ED" w:rsidP="00640FC3">
            <w:pPr>
              <w:suppressAutoHyphens/>
              <w:jc w:val="center"/>
            </w:pPr>
            <w:r w:rsidRPr="00372A8A">
              <w:rPr>
                <w:sz w:val="22"/>
              </w:rPr>
              <w:t>Nelabai tikėtina (1–10 %)</w:t>
            </w:r>
          </w:p>
        </w:tc>
        <w:tc>
          <w:tcPr>
            <w:tcW w:w="2581" w:type="dxa"/>
            <w:tcBorders>
              <w:top w:val="single" w:sz="4" w:space="0" w:color="000000"/>
              <w:left w:val="single" w:sz="4" w:space="0" w:color="000000"/>
              <w:bottom w:val="double" w:sz="1" w:space="0" w:color="000000"/>
              <w:right w:val="double" w:sz="1" w:space="0" w:color="000000"/>
            </w:tcBorders>
          </w:tcPr>
          <w:p w:rsidR="002614ED" w:rsidRPr="00372A8A" w:rsidRDefault="002614ED" w:rsidP="00640FC3">
            <w:pPr>
              <w:suppressAutoHyphens/>
              <w:jc w:val="center"/>
            </w:pPr>
            <w:r w:rsidRPr="00372A8A">
              <w:rPr>
                <w:sz w:val="22"/>
              </w:rPr>
              <w:t>Mažai tikėtina (&lt;1 %)</w:t>
            </w:r>
          </w:p>
        </w:tc>
      </w:tr>
    </w:tbl>
    <w:p w:rsidR="002614ED" w:rsidRPr="00372A8A" w:rsidRDefault="002614ED" w:rsidP="002614ED">
      <w:pPr>
        <w:suppressAutoHyphens/>
        <w:jc w:val="center"/>
        <w:rPr>
          <w:sz w:val="16"/>
        </w:rPr>
      </w:pPr>
    </w:p>
    <w:tbl>
      <w:tblPr>
        <w:tblW w:w="0" w:type="auto"/>
        <w:tblInd w:w="143" w:type="dxa"/>
        <w:tblLayout w:type="fixed"/>
        <w:tblLook w:val="0000"/>
      </w:tblPr>
      <w:tblGrid>
        <w:gridCol w:w="3119"/>
        <w:gridCol w:w="3390"/>
        <w:gridCol w:w="2985"/>
        <w:gridCol w:w="3015"/>
        <w:gridCol w:w="2581"/>
      </w:tblGrid>
      <w:tr w:rsidR="002614ED" w:rsidRPr="00372A8A" w:rsidTr="00640FC3">
        <w:trPr>
          <w:trHeight w:val="76"/>
        </w:trPr>
        <w:tc>
          <w:tcPr>
            <w:tcW w:w="15090" w:type="dxa"/>
            <w:gridSpan w:val="5"/>
            <w:tcBorders>
              <w:top w:val="double" w:sz="1" w:space="0" w:color="000000"/>
              <w:left w:val="double" w:sz="1" w:space="0" w:color="000000"/>
              <w:bottom w:val="single" w:sz="4" w:space="0" w:color="000000"/>
              <w:right w:val="double" w:sz="1" w:space="0" w:color="000000"/>
            </w:tcBorders>
            <w:vAlign w:val="center"/>
          </w:tcPr>
          <w:p w:rsidR="002614ED" w:rsidRPr="00372A8A" w:rsidRDefault="002614ED" w:rsidP="00640FC3">
            <w:pPr>
              <w:suppressAutoHyphens/>
              <w:jc w:val="center"/>
              <w:rPr>
                <w:b/>
              </w:rPr>
            </w:pPr>
            <w:r w:rsidRPr="00372A8A">
              <w:rPr>
                <w:b/>
                <w:sz w:val="22"/>
              </w:rPr>
              <w:t>Poveikio įvertinimas</w:t>
            </w:r>
          </w:p>
        </w:tc>
      </w:tr>
      <w:tr w:rsidR="002614ED" w:rsidRPr="00372A8A" w:rsidTr="00640FC3">
        <w:tc>
          <w:tcPr>
            <w:tcW w:w="3119" w:type="dxa"/>
            <w:tcBorders>
              <w:top w:val="single" w:sz="4" w:space="0" w:color="000000"/>
              <w:left w:val="double" w:sz="1" w:space="0" w:color="000000"/>
              <w:bottom w:val="single" w:sz="4" w:space="0" w:color="000000"/>
            </w:tcBorders>
          </w:tcPr>
          <w:p w:rsidR="002614ED" w:rsidRPr="00372A8A" w:rsidRDefault="002614ED" w:rsidP="00640FC3">
            <w:pPr>
              <w:suppressAutoHyphens/>
              <w:jc w:val="center"/>
              <w:rPr>
                <w:b/>
              </w:rPr>
            </w:pPr>
            <w:r w:rsidRPr="00372A8A">
              <w:rPr>
                <w:b/>
                <w:sz w:val="22"/>
              </w:rPr>
              <w:t>5</w:t>
            </w:r>
          </w:p>
        </w:tc>
        <w:tc>
          <w:tcPr>
            <w:tcW w:w="3390"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rPr>
                <w:b/>
              </w:rPr>
            </w:pPr>
            <w:r w:rsidRPr="00372A8A">
              <w:rPr>
                <w:b/>
                <w:sz w:val="22"/>
              </w:rPr>
              <w:t>4</w:t>
            </w:r>
          </w:p>
        </w:tc>
        <w:tc>
          <w:tcPr>
            <w:tcW w:w="2985"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rPr>
                <w:b/>
              </w:rPr>
            </w:pPr>
            <w:r w:rsidRPr="00372A8A">
              <w:rPr>
                <w:b/>
                <w:sz w:val="22"/>
              </w:rPr>
              <w:t>3</w:t>
            </w:r>
          </w:p>
        </w:tc>
        <w:tc>
          <w:tcPr>
            <w:tcW w:w="3015"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rPr>
                <w:b/>
              </w:rPr>
            </w:pPr>
            <w:r w:rsidRPr="00372A8A">
              <w:rPr>
                <w:b/>
                <w:sz w:val="22"/>
              </w:rPr>
              <w:t>2</w:t>
            </w:r>
          </w:p>
        </w:tc>
        <w:tc>
          <w:tcPr>
            <w:tcW w:w="2581" w:type="dxa"/>
            <w:tcBorders>
              <w:top w:val="single" w:sz="4" w:space="0" w:color="000000"/>
              <w:left w:val="single" w:sz="4" w:space="0" w:color="000000"/>
              <w:bottom w:val="single" w:sz="4" w:space="0" w:color="000000"/>
              <w:right w:val="double" w:sz="1" w:space="0" w:color="000000"/>
            </w:tcBorders>
          </w:tcPr>
          <w:p w:rsidR="002614ED" w:rsidRPr="00372A8A" w:rsidRDefault="002614ED" w:rsidP="00640FC3">
            <w:pPr>
              <w:suppressAutoHyphens/>
              <w:jc w:val="center"/>
              <w:rPr>
                <w:b/>
              </w:rPr>
            </w:pPr>
            <w:r w:rsidRPr="00372A8A">
              <w:rPr>
                <w:b/>
                <w:sz w:val="22"/>
              </w:rPr>
              <w:t>1</w:t>
            </w:r>
          </w:p>
        </w:tc>
      </w:tr>
      <w:tr w:rsidR="002614ED" w:rsidRPr="00372A8A" w:rsidTr="00640FC3">
        <w:trPr>
          <w:trHeight w:val="108"/>
        </w:trPr>
        <w:tc>
          <w:tcPr>
            <w:tcW w:w="3119" w:type="dxa"/>
            <w:tcBorders>
              <w:top w:val="single" w:sz="4" w:space="0" w:color="000000"/>
              <w:left w:val="double" w:sz="1" w:space="0" w:color="000000"/>
              <w:bottom w:val="single" w:sz="4" w:space="0" w:color="000000"/>
            </w:tcBorders>
            <w:vAlign w:val="center"/>
          </w:tcPr>
          <w:p w:rsidR="002614ED" w:rsidRPr="00372A8A" w:rsidRDefault="002614ED" w:rsidP="00640FC3">
            <w:pPr>
              <w:suppressAutoHyphens/>
              <w:jc w:val="center"/>
            </w:pPr>
            <w:r w:rsidRPr="00372A8A">
              <w:rPr>
                <w:sz w:val="22"/>
              </w:rPr>
              <w:t>Kritinis poveikis</w:t>
            </w:r>
          </w:p>
        </w:tc>
        <w:tc>
          <w:tcPr>
            <w:tcW w:w="3390" w:type="dxa"/>
            <w:tcBorders>
              <w:top w:val="single" w:sz="4" w:space="0" w:color="000000"/>
              <w:left w:val="single" w:sz="4" w:space="0" w:color="000000"/>
              <w:bottom w:val="single" w:sz="4" w:space="0" w:color="000000"/>
            </w:tcBorders>
            <w:vAlign w:val="center"/>
          </w:tcPr>
          <w:p w:rsidR="002614ED" w:rsidRPr="00372A8A" w:rsidRDefault="002614ED" w:rsidP="00640FC3">
            <w:pPr>
              <w:suppressAutoHyphens/>
              <w:jc w:val="center"/>
            </w:pPr>
            <w:r w:rsidRPr="00372A8A">
              <w:rPr>
                <w:sz w:val="22"/>
              </w:rPr>
              <w:t>Reikšmingas poveikis</w:t>
            </w:r>
          </w:p>
        </w:tc>
        <w:tc>
          <w:tcPr>
            <w:tcW w:w="2985" w:type="dxa"/>
            <w:tcBorders>
              <w:top w:val="single" w:sz="4" w:space="0" w:color="000000"/>
              <w:left w:val="single" w:sz="4" w:space="0" w:color="000000"/>
              <w:bottom w:val="single" w:sz="4" w:space="0" w:color="000000"/>
            </w:tcBorders>
            <w:vAlign w:val="center"/>
          </w:tcPr>
          <w:p w:rsidR="002614ED" w:rsidRPr="00372A8A" w:rsidRDefault="002614ED" w:rsidP="00640FC3">
            <w:pPr>
              <w:suppressAutoHyphens/>
              <w:jc w:val="center"/>
            </w:pPr>
            <w:r w:rsidRPr="00372A8A">
              <w:rPr>
                <w:sz w:val="22"/>
              </w:rPr>
              <w:t>Vidutinis poveikis</w:t>
            </w:r>
          </w:p>
        </w:tc>
        <w:tc>
          <w:tcPr>
            <w:tcW w:w="3015" w:type="dxa"/>
            <w:tcBorders>
              <w:top w:val="single" w:sz="4" w:space="0" w:color="000000"/>
              <w:left w:val="single" w:sz="4" w:space="0" w:color="000000"/>
              <w:bottom w:val="single" w:sz="4" w:space="0" w:color="000000"/>
            </w:tcBorders>
            <w:vAlign w:val="center"/>
          </w:tcPr>
          <w:p w:rsidR="002614ED" w:rsidRPr="00372A8A" w:rsidRDefault="002614ED" w:rsidP="00640FC3">
            <w:pPr>
              <w:suppressAutoHyphens/>
              <w:jc w:val="center"/>
            </w:pPr>
            <w:r w:rsidRPr="00372A8A">
              <w:rPr>
                <w:sz w:val="22"/>
              </w:rPr>
              <w:t>Nežymus poveikis</w:t>
            </w:r>
          </w:p>
        </w:tc>
        <w:tc>
          <w:tcPr>
            <w:tcW w:w="2581" w:type="dxa"/>
            <w:tcBorders>
              <w:top w:val="single" w:sz="4" w:space="0" w:color="000000"/>
              <w:left w:val="single" w:sz="4" w:space="0" w:color="000000"/>
              <w:bottom w:val="single" w:sz="4" w:space="0" w:color="000000"/>
              <w:right w:val="double" w:sz="1" w:space="0" w:color="000000"/>
            </w:tcBorders>
            <w:vAlign w:val="center"/>
          </w:tcPr>
          <w:p w:rsidR="002614ED" w:rsidRPr="00372A8A" w:rsidRDefault="002614ED" w:rsidP="00640FC3">
            <w:pPr>
              <w:suppressAutoHyphens/>
              <w:jc w:val="center"/>
            </w:pPr>
            <w:r w:rsidRPr="00372A8A">
              <w:rPr>
                <w:sz w:val="22"/>
              </w:rPr>
              <w:t>Nereikšmingas poveikis</w:t>
            </w:r>
          </w:p>
        </w:tc>
      </w:tr>
      <w:tr w:rsidR="002614ED" w:rsidRPr="00372A8A" w:rsidTr="00640FC3">
        <w:trPr>
          <w:trHeight w:val="403"/>
        </w:trPr>
        <w:tc>
          <w:tcPr>
            <w:tcW w:w="15090" w:type="dxa"/>
            <w:gridSpan w:val="5"/>
            <w:tcBorders>
              <w:top w:val="single" w:sz="4" w:space="0" w:color="000000"/>
              <w:left w:val="double" w:sz="1" w:space="0" w:color="000000"/>
              <w:bottom w:val="single" w:sz="4" w:space="0" w:color="000000"/>
              <w:right w:val="double" w:sz="1" w:space="0" w:color="000000"/>
            </w:tcBorders>
            <w:vAlign w:val="center"/>
          </w:tcPr>
          <w:p w:rsidR="002614ED" w:rsidRPr="00372A8A" w:rsidRDefault="002614ED" w:rsidP="00640FC3">
            <w:pPr>
              <w:suppressAutoHyphens/>
              <w:jc w:val="center"/>
              <w:rPr>
                <w:b/>
              </w:rPr>
            </w:pPr>
            <w:r w:rsidRPr="00372A8A">
              <w:rPr>
                <w:b/>
                <w:sz w:val="22"/>
              </w:rPr>
              <w:t>Finansiniai nuostoliai dėl neefektyvaus lėšų panaudojimo:</w:t>
            </w:r>
          </w:p>
        </w:tc>
      </w:tr>
      <w:tr w:rsidR="002614ED" w:rsidRPr="00372A8A" w:rsidTr="00640FC3">
        <w:tc>
          <w:tcPr>
            <w:tcW w:w="3119" w:type="dxa"/>
            <w:tcBorders>
              <w:top w:val="single" w:sz="4" w:space="0" w:color="000000"/>
              <w:left w:val="double" w:sz="1" w:space="0" w:color="000000"/>
              <w:bottom w:val="single" w:sz="4" w:space="0" w:color="000000"/>
            </w:tcBorders>
          </w:tcPr>
          <w:p w:rsidR="002614ED" w:rsidRPr="00372A8A" w:rsidRDefault="002614ED" w:rsidP="00640FC3">
            <w:pPr>
              <w:suppressAutoHyphens/>
              <w:jc w:val="center"/>
            </w:pPr>
            <w:r w:rsidRPr="00372A8A">
              <w:rPr>
                <w:sz w:val="22"/>
              </w:rPr>
              <w:t>&gt;</w:t>
            </w:r>
            <w:r w:rsidR="00835FC3">
              <w:rPr>
                <w:sz w:val="22"/>
              </w:rPr>
              <w:t xml:space="preserve">300 tūkst. </w:t>
            </w:r>
            <w:r w:rsidRPr="00372A8A">
              <w:rPr>
                <w:sz w:val="22"/>
              </w:rPr>
              <w:t xml:space="preserve"> </w:t>
            </w:r>
            <w:r w:rsidR="002C7E61">
              <w:rPr>
                <w:sz w:val="22"/>
              </w:rPr>
              <w:t>Eur</w:t>
            </w:r>
          </w:p>
        </w:tc>
        <w:tc>
          <w:tcPr>
            <w:tcW w:w="3390"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pPr>
            <w:r w:rsidRPr="00372A8A">
              <w:rPr>
                <w:sz w:val="22"/>
              </w:rPr>
              <w:t>&gt;</w:t>
            </w:r>
            <w:r w:rsidR="002C7E61">
              <w:rPr>
                <w:sz w:val="22"/>
              </w:rPr>
              <w:t>150</w:t>
            </w:r>
            <w:r w:rsidRPr="00372A8A">
              <w:rPr>
                <w:sz w:val="22"/>
              </w:rPr>
              <w:t xml:space="preserve"> tūkst. </w:t>
            </w:r>
            <w:r w:rsidR="002C7E61">
              <w:rPr>
                <w:sz w:val="22"/>
              </w:rPr>
              <w:t>Eur</w:t>
            </w:r>
            <w:r w:rsidRPr="00372A8A">
              <w:rPr>
                <w:sz w:val="22"/>
              </w:rPr>
              <w:t xml:space="preserve"> – </w:t>
            </w:r>
            <w:r w:rsidR="002C7E61">
              <w:rPr>
                <w:sz w:val="22"/>
              </w:rPr>
              <w:t>300 tūkst</w:t>
            </w:r>
            <w:r w:rsidRPr="00372A8A">
              <w:rPr>
                <w:sz w:val="22"/>
              </w:rPr>
              <w:t xml:space="preserve">. </w:t>
            </w:r>
            <w:r w:rsidR="002C7E61">
              <w:rPr>
                <w:sz w:val="22"/>
              </w:rPr>
              <w:t>Eur</w:t>
            </w:r>
          </w:p>
        </w:tc>
        <w:tc>
          <w:tcPr>
            <w:tcW w:w="2985"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pPr>
            <w:r w:rsidRPr="00372A8A">
              <w:rPr>
                <w:sz w:val="22"/>
              </w:rPr>
              <w:t>&gt;</w:t>
            </w:r>
            <w:r w:rsidR="00383A99">
              <w:rPr>
                <w:sz w:val="22"/>
              </w:rPr>
              <w:t>30</w:t>
            </w:r>
            <w:r w:rsidRPr="00372A8A">
              <w:rPr>
                <w:sz w:val="22"/>
              </w:rPr>
              <w:t xml:space="preserve"> tūkst. </w:t>
            </w:r>
            <w:r w:rsidR="00383A99">
              <w:rPr>
                <w:sz w:val="22"/>
              </w:rPr>
              <w:t>Eur</w:t>
            </w:r>
            <w:r w:rsidRPr="00372A8A">
              <w:rPr>
                <w:sz w:val="22"/>
              </w:rPr>
              <w:t xml:space="preserve"> – </w:t>
            </w:r>
            <w:r w:rsidR="00383A99">
              <w:rPr>
                <w:sz w:val="22"/>
              </w:rPr>
              <w:t>150</w:t>
            </w:r>
            <w:r w:rsidRPr="00372A8A">
              <w:rPr>
                <w:sz w:val="22"/>
              </w:rPr>
              <w:t xml:space="preserve"> tūkst. </w:t>
            </w:r>
            <w:r w:rsidR="00383A99">
              <w:rPr>
                <w:sz w:val="22"/>
              </w:rPr>
              <w:t>Eur</w:t>
            </w:r>
            <w:r w:rsidRPr="00372A8A">
              <w:rPr>
                <w:sz w:val="22"/>
              </w:rPr>
              <w:t xml:space="preserve"> </w:t>
            </w:r>
          </w:p>
        </w:tc>
        <w:tc>
          <w:tcPr>
            <w:tcW w:w="3015"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pPr>
            <w:r w:rsidRPr="00372A8A">
              <w:rPr>
                <w:sz w:val="22"/>
              </w:rPr>
              <w:t>&gt;</w:t>
            </w:r>
            <w:r w:rsidR="00634871">
              <w:rPr>
                <w:sz w:val="22"/>
              </w:rPr>
              <w:t>3</w:t>
            </w:r>
            <w:r w:rsidRPr="00372A8A">
              <w:rPr>
                <w:sz w:val="22"/>
              </w:rPr>
              <w:t xml:space="preserve"> tūkst. </w:t>
            </w:r>
            <w:r w:rsidR="00634871">
              <w:rPr>
                <w:sz w:val="22"/>
              </w:rPr>
              <w:t>Eur</w:t>
            </w:r>
            <w:r w:rsidRPr="00372A8A">
              <w:rPr>
                <w:sz w:val="22"/>
              </w:rPr>
              <w:t xml:space="preserve"> –</w:t>
            </w:r>
            <w:r w:rsidR="00634871">
              <w:rPr>
                <w:sz w:val="22"/>
              </w:rPr>
              <w:t xml:space="preserve"> 30</w:t>
            </w:r>
            <w:r w:rsidRPr="00372A8A">
              <w:rPr>
                <w:sz w:val="22"/>
              </w:rPr>
              <w:t xml:space="preserve"> tūkst. </w:t>
            </w:r>
            <w:r w:rsidR="00634871">
              <w:rPr>
                <w:sz w:val="22"/>
              </w:rPr>
              <w:t>Eur</w:t>
            </w:r>
            <w:r w:rsidRPr="00372A8A">
              <w:rPr>
                <w:sz w:val="22"/>
              </w:rPr>
              <w:t xml:space="preserve"> </w:t>
            </w:r>
          </w:p>
        </w:tc>
        <w:tc>
          <w:tcPr>
            <w:tcW w:w="2581" w:type="dxa"/>
            <w:tcBorders>
              <w:top w:val="single" w:sz="4" w:space="0" w:color="000000"/>
              <w:left w:val="single" w:sz="4" w:space="0" w:color="000000"/>
              <w:bottom w:val="single" w:sz="4" w:space="0" w:color="000000"/>
              <w:right w:val="double" w:sz="1" w:space="0" w:color="000000"/>
            </w:tcBorders>
          </w:tcPr>
          <w:p w:rsidR="002614ED" w:rsidRPr="00372A8A" w:rsidRDefault="002614ED" w:rsidP="00640FC3">
            <w:pPr>
              <w:suppressAutoHyphens/>
              <w:jc w:val="center"/>
            </w:pPr>
            <w:r w:rsidRPr="00372A8A">
              <w:rPr>
                <w:sz w:val="22"/>
              </w:rPr>
              <w:t>&lt;</w:t>
            </w:r>
            <w:r w:rsidR="00090B42">
              <w:rPr>
                <w:sz w:val="22"/>
              </w:rPr>
              <w:t>3</w:t>
            </w:r>
            <w:r w:rsidRPr="00372A8A">
              <w:rPr>
                <w:sz w:val="22"/>
              </w:rPr>
              <w:t xml:space="preserve"> tūkst. </w:t>
            </w:r>
            <w:r w:rsidR="00090B42">
              <w:rPr>
                <w:sz w:val="22"/>
              </w:rPr>
              <w:t>Eur</w:t>
            </w:r>
          </w:p>
        </w:tc>
      </w:tr>
      <w:tr w:rsidR="002614ED" w:rsidRPr="00372A8A" w:rsidTr="00640FC3">
        <w:trPr>
          <w:trHeight w:val="70"/>
        </w:trPr>
        <w:tc>
          <w:tcPr>
            <w:tcW w:w="15090" w:type="dxa"/>
            <w:gridSpan w:val="5"/>
            <w:tcBorders>
              <w:top w:val="single" w:sz="4" w:space="0" w:color="000000"/>
              <w:left w:val="double" w:sz="1" w:space="0" w:color="000000"/>
              <w:bottom w:val="single" w:sz="4" w:space="0" w:color="000000"/>
              <w:right w:val="double" w:sz="1" w:space="0" w:color="000000"/>
            </w:tcBorders>
            <w:vAlign w:val="center"/>
          </w:tcPr>
          <w:p w:rsidR="002614ED" w:rsidRPr="00372A8A" w:rsidRDefault="002614ED" w:rsidP="00640FC3">
            <w:pPr>
              <w:suppressAutoHyphens/>
              <w:jc w:val="center"/>
              <w:rPr>
                <w:b/>
              </w:rPr>
            </w:pPr>
            <w:r w:rsidRPr="00372A8A">
              <w:rPr>
                <w:b/>
                <w:sz w:val="22"/>
              </w:rPr>
              <w:t>Atitiktis keliamiems išoriniams reikalavimams:</w:t>
            </w:r>
          </w:p>
        </w:tc>
      </w:tr>
      <w:tr w:rsidR="002614ED" w:rsidRPr="00372A8A" w:rsidTr="00640FC3">
        <w:tc>
          <w:tcPr>
            <w:tcW w:w="3119" w:type="dxa"/>
            <w:tcBorders>
              <w:top w:val="single" w:sz="4" w:space="0" w:color="000000"/>
              <w:left w:val="double" w:sz="1" w:space="0" w:color="000000"/>
              <w:bottom w:val="single" w:sz="4" w:space="0" w:color="000000"/>
            </w:tcBorders>
          </w:tcPr>
          <w:p w:rsidR="002614ED" w:rsidRPr="00372A8A" w:rsidRDefault="002614ED" w:rsidP="00640FC3">
            <w:pPr>
              <w:suppressAutoHyphens/>
            </w:pPr>
            <w:r w:rsidRPr="00372A8A">
              <w:rPr>
                <w:sz w:val="22"/>
              </w:rPr>
              <w:t>Kritinių sistemų sutrikimas, reikšminga teisinė byla, turinti plataus masto neigiamą poveikį organizacijai, esminis išorinių reikalavimų pažeidimas, pakenkiantis reputacijai</w:t>
            </w:r>
          </w:p>
        </w:tc>
        <w:tc>
          <w:tcPr>
            <w:tcW w:w="3390" w:type="dxa"/>
            <w:tcBorders>
              <w:top w:val="single" w:sz="4" w:space="0" w:color="000000"/>
              <w:left w:val="single" w:sz="4" w:space="0" w:color="000000"/>
              <w:bottom w:val="single" w:sz="4" w:space="0" w:color="000000"/>
            </w:tcBorders>
          </w:tcPr>
          <w:p w:rsidR="002614ED" w:rsidRPr="00372A8A" w:rsidRDefault="002614ED" w:rsidP="00640FC3">
            <w:pPr>
              <w:suppressAutoHyphens/>
            </w:pPr>
            <w:r w:rsidRPr="00372A8A">
              <w:rPr>
                <w:sz w:val="22"/>
              </w:rPr>
              <w:t>Reikšmingas išorinių reikalavimų pažeidimas ar svarbios informacinės sistemos darbo sutrikimas, kuris negali būti greitai ir nesudėtingai pašalintas</w:t>
            </w:r>
          </w:p>
        </w:tc>
        <w:tc>
          <w:tcPr>
            <w:tcW w:w="2985" w:type="dxa"/>
            <w:tcBorders>
              <w:top w:val="single" w:sz="4" w:space="0" w:color="000000"/>
              <w:left w:val="single" w:sz="4" w:space="0" w:color="000000"/>
              <w:bottom w:val="single" w:sz="4" w:space="0" w:color="000000"/>
            </w:tcBorders>
          </w:tcPr>
          <w:p w:rsidR="002614ED" w:rsidRPr="00372A8A" w:rsidRDefault="002614ED" w:rsidP="00640FC3">
            <w:pPr>
              <w:suppressAutoHyphens/>
            </w:pPr>
            <w:r w:rsidRPr="00372A8A">
              <w:rPr>
                <w:sz w:val="22"/>
              </w:rPr>
              <w:t>Reikšmingas išorinių reikalavimų pažeidimas, kuris gali būti greitai ir nesudėtingai pašalintas</w:t>
            </w:r>
          </w:p>
        </w:tc>
        <w:tc>
          <w:tcPr>
            <w:tcW w:w="3015" w:type="dxa"/>
            <w:tcBorders>
              <w:top w:val="single" w:sz="4" w:space="0" w:color="000000"/>
              <w:left w:val="single" w:sz="4" w:space="0" w:color="000000"/>
              <w:bottom w:val="single" w:sz="4" w:space="0" w:color="000000"/>
            </w:tcBorders>
          </w:tcPr>
          <w:p w:rsidR="002614ED" w:rsidRPr="00372A8A" w:rsidRDefault="002614ED" w:rsidP="00640FC3">
            <w:pPr>
              <w:suppressAutoHyphens/>
            </w:pPr>
            <w:r w:rsidRPr="00372A8A">
              <w:rPr>
                <w:sz w:val="22"/>
              </w:rPr>
              <w:t>Nereikšmingas išorinių reikalavimų pažeidimas, kuris negali būti greitai ir nesudėtingai pašalintas</w:t>
            </w:r>
          </w:p>
        </w:tc>
        <w:tc>
          <w:tcPr>
            <w:tcW w:w="2581" w:type="dxa"/>
            <w:tcBorders>
              <w:top w:val="single" w:sz="4" w:space="0" w:color="000000"/>
              <w:left w:val="single" w:sz="4" w:space="0" w:color="000000"/>
              <w:bottom w:val="single" w:sz="4" w:space="0" w:color="000000"/>
              <w:right w:val="double" w:sz="1" w:space="0" w:color="000000"/>
            </w:tcBorders>
          </w:tcPr>
          <w:p w:rsidR="002614ED" w:rsidRPr="00372A8A" w:rsidRDefault="002614ED" w:rsidP="00640FC3">
            <w:pPr>
              <w:suppressAutoHyphens/>
            </w:pPr>
            <w:r w:rsidRPr="00372A8A">
              <w:rPr>
                <w:sz w:val="22"/>
              </w:rPr>
              <w:t>Nereikšmingas išorinių reikalavimų pažeidimas, kuris gali būti greitai ir nesudėtingai pašalintas</w:t>
            </w:r>
          </w:p>
        </w:tc>
      </w:tr>
      <w:tr w:rsidR="002614ED" w:rsidRPr="00372A8A" w:rsidTr="00640FC3">
        <w:trPr>
          <w:trHeight w:val="70"/>
        </w:trPr>
        <w:tc>
          <w:tcPr>
            <w:tcW w:w="15090" w:type="dxa"/>
            <w:gridSpan w:val="5"/>
            <w:tcBorders>
              <w:top w:val="single" w:sz="4" w:space="0" w:color="000000"/>
              <w:left w:val="double" w:sz="1" w:space="0" w:color="000000"/>
              <w:bottom w:val="single" w:sz="4" w:space="0" w:color="000000"/>
              <w:right w:val="double" w:sz="1" w:space="0" w:color="000000"/>
            </w:tcBorders>
            <w:vAlign w:val="center"/>
          </w:tcPr>
          <w:p w:rsidR="002614ED" w:rsidRPr="00372A8A" w:rsidRDefault="002614ED" w:rsidP="00640FC3">
            <w:pPr>
              <w:suppressAutoHyphens/>
              <w:jc w:val="center"/>
              <w:rPr>
                <w:b/>
              </w:rPr>
            </w:pPr>
            <w:r w:rsidRPr="00372A8A">
              <w:rPr>
                <w:b/>
                <w:sz w:val="22"/>
              </w:rPr>
              <w:t xml:space="preserve">Strategijos įgyvendinimas ir </w:t>
            </w:r>
            <w:r w:rsidR="000C72D6">
              <w:rPr>
                <w:b/>
                <w:sz w:val="22"/>
              </w:rPr>
              <w:t xml:space="preserve">įstaigos </w:t>
            </w:r>
            <w:r w:rsidRPr="00372A8A">
              <w:rPr>
                <w:b/>
                <w:sz w:val="22"/>
              </w:rPr>
              <w:t xml:space="preserve">reputacija: </w:t>
            </w:r>
          </w:p>
        </w:tc>
      </w:tr>
      <w:tr w:rsidR="002614ED" w:rsidRPr="00372A8A" w:rsidTr="00640FC3">
        <w:tc>
          <w:tcPr>
            <w:tcW w:w="3119" w:type="dxa"/>
            <w:tcBorders>
              <w:top w:val="single" w:sz="4" w:space="0" w:color="000000"/>
              <w:left w:val="double" w:sz="1" w:space="0" w:color="000000"/>
              <w:bottom w:val="single" w:sz="4" w:space="0" w:color="000000"/>
            </w:tcBorders>
          </w:tcPr>
          <w:p w:rsidR="002614ED" w:rsidRPr="00372A8A" w:rsidRDefault="002614ED" w:rsidP="00640FC3">
            <w:pPr>
              <w:suppressAutoHyphens/>
            </w:pPr>
            <w:r w:rsidRPr="00372A8A">
              <w:rPr>
                <w:sz w:val="22"/>
              </w:rPr>
              <w:t xml:space="preserve">Nesugebėjimas įgyvendinti strateginių uždavinių ar svarbiausių funkcijų, </w:t>
            </w:r>
            <w:r w:rsidR="000C72D6">
              <w:rPr>
                <w:sz w:val="22"/>
              </w:rPr>
              <w:t xml:space="preserve">įstaigos </w:t>
            </w:r>
            <w:r w:rsidRPr="00372A8A">
              <w:rPr>
                <w:sz w:val="22"/>
              </w:rPr>
              <w:t>išlikimo klausimas</w:t>
            </w:r>
          </w:p>
        </w:tc>
        <w:tc>
          <w:tcPr>
            <w:tcW w:w="3390" w:type="dxa"/>
            <w:tcBorders>
              <w:top w:val="single" w:sz="4" w:space="0" w:color="000000"/>
              <w:left w:val="single" w:sz="4" w:space="0" w:color="000000"/>
              <w:bottom w:val="single" w:sz="4" w:space="0" w:color="000000"/>
            </w:tcBorders>
          </w:tcPr>
          <w:p w:rsidR="002614ED" w:rsidRPr="00372A8A" w:rsidRDefault="002614ED" w:rsidP="00640FC3">
            <w:pPr>
              <w:suppressAutoHyphens/>
            </w:pPr>
            <w:r w:rsidRPr="00372A8A">
              <w:rPr>
                <w:sz w:val="22"/>
              </w:rPr>
              <w:t xml:space="preserve">Reikšmingas poveikis </w:t>
            </w:r>
            <w:r w:rsidR="000C72D6">
              <w:rPr>
                <w:sz w:val="22"/>
              </w:rPr>
              <w:t xml:space="preserve">įstaigos </w:t>
            </w:r>
            <w:r w:rsidRPr="00372A8A">
              <w:rPr>
                <w:sz w:val="22"/>
              </w:rPr>
              <w:t xml:space="preserve">strategijai, iš esmės pakenkta </w:t>
            </w:r>
            <w:r w:rsidR="000C72D6">
              <w:rPr>
                <w:sz w:val="22"/>
              </w:rPr>
              <w:t xml:space="preserve">įstaigos </w:t>
            </w:r>
            <w:r w:rsidRPr="00372A8A">
              <w:rPr>
                <w:sz w:val="22"/>
              </w:rPr>
              <w:t>reputacijai</w:t>
            </w:r>
          </w:p>
        </w:tc>
        <w:tc>
          <w:tcPr>
            <w:tcW w:w="2985" w:type="dxa"/>
            <w:tcBorders>
              <w:top w:val="single" w:sz="4" w:space="0" w:color="000000"/>
              <w:left w:val="single" w:sz="4" w:space="0" w:color="000000"/>
              <w:bottom w:val="single" w:sz="4" w:space="0" w:color="000000"/>
            </w:tcBorders>
          </w:tcPr>
          <w:p w:rsidR="002614ED" w:rsidRPr="00372A8A" w:rsidRDefault="002614ED" w:rsidP="00640FC3">
            <w:pPr>
              <w:suppressAutoHyphens/>
            </w:pPr>
            <w:r w:rsidRPr="00372A8A">
              <w:rPr>
                <w:sz w:val="22"/>
              </w:rPr>
              <w:t xml:space="preserve">Ribotas poveikis </w:t>
            </w:r>
            <w:r w:rsidR="000C72D6">
              <w:rPr>
                <w:sz w:val="22"/>
              </w:rPr>
              <w:t xml:space="preserve">įstaigos </w:t>
            </w:r>
            <w:r w:rsidRPr="00372A8A">
              <w:rPr>
                <w:sz w:val="22"/>
              </w:rPr>
              <w:t>veiklos strategijai, vidutinės trukmės neigiamas poveikis reputacijai</w:t>
            </w:r>
          </w:p>
        </w:tc>
        <w:tc>
          <w:tcPr>
            <w:tcW w:w="3015" w:type="dxa"/>
            <w:tcBorders>
              <w:top w:val="single" w:sz="4" w:space="0" w:color="000000"/>
              <w:left w:val="single" w:sz="4" w:space="0" w:color="000000"/>
              <w:bottom w:val="single" w:sz="4" w:space="0" w:color="000000"/>
            </w:tcBorders>
          </w:tcPr>
          <w:p w:rsidR="002614ED" w:rsidRPr="00372A8A" w:rsidRDefault="002614ED" w:rsidP="00640FC3">
            <w:pPr>
              <w:suppressAutoHyphens/>
            </w:pPr>
            <w:r w:rsidRPr="00372A8A">
              <w:rPr>
                <w:sz w:val="22"/>
              </w:rPr>
              <w:t xml:space="preserve">Nežymus poveikis </w:t>
            </w:r>
            <w:r w:rsidR="000C72D6">
              <w:rPr>
                <w:sz w:val="22"/>
              </w:rPr>
              <w:t xml:space="preserve">įstaigos </w:t>
            </w:r>
            <w:r w:rsidRPr="00372A8A">
              <w:rPr>
                <w:sz w:val="22"/>
              </w:rPr>
              <w:t xml:space="preserve">strategijai, trumpalaikis neigiamas poveikis reputacijai </w:t>
            </w:r>
          </w:p>
        </w:tc>
        <w:tc>
          <w:tcPr>
            <w:tcW w:w="2581" w:type="dxa"/>
            <w:tcBorders>
              <w:top w:val="single" w:sz="4" w:space="0" w:color="000000"/>
              <w:left w:val="single" w:sz="4" w:space="0" w:color="000000"/>
              <w:bottom w:val="single" w:sz="4" w:space="0" w:color="000000"/>
              <w:right w:val="double" w:sz="1" w:space="0" w:color="000000"/>
            </w:tcBorders>
          </w:tcPr>
          <w:p w:rsidR="002614ED" w:rsidRPr="00372A8A" w:rsidRDefault="002614ED" w:rsidP="00640FC3">
            <w:pPr>
              <w:suppressAutoHyphens/>
            </w:pPr>
            <w:r w:rsidRPr="00372A8A">
              <w:rPr>
                <w:sz w:val="22"/>
              </w:rPr>
              <w:t>Minimalus poveikis strategijai ir reputacijai</w:t>
            </w:r>
          </w:p>
        </w:tc>
      </w:tr>
      <w:tr w:rsidR="002614ED" w:rsidRPr="00372A8A" w:rsidTr="00640FC3">
        <w:trPr>
          <w:trHeight w:val="403"/>
        </w:trPr>
        <w:tc>
          <w:tcPr>
            <w:tcW w:w="15090" w:type="dxa"/>
            <w:gridSpan w:val="5"/>
            <w:tcBorders>
              <w:top w:val="single" w:sz="4" w:space="0" w:color="000000"/>
              <w:left w:val="double" w:sz="1" w:space="0" w:color="000000"/>
              <w:bottom w:val="single" w:sz="4" w:space="0" w:color="000000"/>
              <w:right w:val="double" w:sz="1" w:space="0" w:color="000000"/>
            </w:tcBorders>
            <w:vAlign w:val="center"/>
          </w:tcPr>
          <w:p w:rsidR="002614ED" w:rsidRPr="00372A8A" w:rsidRDefault="002614ED" w:rsidP="00640FC3">
            <w:pPr>
              <w:suppressAutoHyphens/>
              <w:jc w:val="center"/>
              <w:rPr>
                <w:b/>
              </w:rPr>
            </w:pPr>
            <w:bookmarkStart w:id="4" w:name="_Hlk43389827"/>
            <w:bookmarkEnd w:id="3"/>
            <w:r w:rsidRPr="00372A8A">
              <w:rPr>
                <w:b/>
                <w:sz w:val="22"/>
              </w:rPr>
              <w:t>Žmogiškieji ištekliai – vadovaujančios grandies darbuotojų kaita per 1 metus:</w:t>
            </w:r>
          </w:p>
        </w:tc>
      </w:tr>
      <w:tr w:rsidR="002614ED" w:rsidRPr="00372A8A" w:rsidTr="00640FC3">
        <w:tc>
          <w:tcPr>
            <w:tcW w:w="3119" w:type="dxa"/>
            <w:tcBorders>
              <w:top w:val="single" w:sz="4" w:space="0" w:color="000000"/>
              <w:left w:val="double" w:sz="1" w:space="0" w:color="000000"/>
              <w:bottom w:val="single" w:sz="4" w:space="0" w:color="000000"/>
            </w:tcBorders>
          </w:tcPr>
          <w:p w:rsidR="002614ED" w:rsidRPr="00372A8A" w:rsidRDefault="002614ED" w:rsidP="00640FC3">
            <w:pPr>
              <w:suppressAutoHyphens/>
              <w:jc w:val="center"/>
            </w:pPr>
            <w:r w:rsidRPr="00372A8A">
              <w:rPr>
                <w:sz w:val="22"/>
              </w:rPr>
              <w:t>&gt;5</w:t>
            </w:r>
          </w:p>
        </w:tc>
        <w:tc>
          <w:tcPr>
            <w:tcW w:w="3390"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pPr>
            <w:r w:rsidRPr="00372A8A">
              <w:rPr>
                <w:sz w:val="22"/>
              </w:rPr>
              <w:t>3–4</w:t>
            </w:r>
          </w:p>
        </w:tc>
        <w:tc>
          <w:tcPr>
            <w:tcW w:w="2985"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pPr>
            <w:r w:rsidRPr="00372A8A">
              <w:rPr>
                <w:sz w:val="22"/>
              </w:rPr>
              <w:t>2–3</w:t>
            </w:r>
          </w:p>
        </w:tc>
        <w:tc>
          <w:tcPr>
            <w:tcW w:w="3015" w:type="dxa"/>
            <w:tcBorders>
              <w:top w:val="single" w:sz="4" w:space="0" w:color="000000"/>
              <w:left w:val="single" w:sz="4" w:space="0" w:color="000000"/>
              <w:bottom w:val="single" w:sz="4" w:space="0" w:color="000000"/>
            </w:tcBorders>
          </w:tcPr>
          <w:p w:rsidR="002614ED" w:rsidRPr="00372A8A" w:rsidRDefault="002614ED" w:rsidP="00640FC3">
            <w:pPr>
              <w:suppressAutoHyphens/>
              <w:jc w:val="center"/>
            </w:pPr>
            <w:r w:rsidRPr="00372A8A">
              <w:rPr>
                <w:sz w:val="22"/>
              </w:rPr>
              <w:t>1–2</w:t>
            </w:r>
          </w:p>
        </w:tc>
        <w:tc>
          <w:tcPr>
            <w:tcW w:w="2581" w:type="dxa"/>
            <w:tcBorders>
              <w:top w:val="single" w:sz="4" w:space="0" w:color="000000"/>
              <w:left w:val="single" w:sz="4" w:space="0" w:color="000000"/>
              <w:bottom w:val="single" w:sz="4" w:space="0" w:color="000000"/>
              <w:right w:val="double" w:sz="1" w:space="0" w:color="000000"/>
            </w:tcBorders>
          </w:tcPr>
          <w:p w:rsidR="002614ED" w:rsidRPr="00372A8A" w:rsidRDefault="002614ED" w:rsidP="00640FC3">
            <w:pPr>
              <w:suppressAutoHyphens/>
              <w:jc w:val="center"/>
            </w:pPr>
            <w:r w:rsidRPr="00372A8A">
              <w:rPr>
                <w:sz w:val="22"/>
              </w:rPr>
              <w:t>1</w:t>
            </w:r>
          </w:p>
        </w:tc>
      </w:tr>
      <w:bookmarkEnd w:id="4"/>
    </w:tbl>
    <w:p w:rsidR="00C66272" w:rsidRDefault="00C66272" w:rsidP="00C66272">
      <w:pPr>
        <w:suppressAutoHyphens/>
        <w:jc w:val="center"/>
        <w:rPr>
          <w:kern w:val="1"/>
        </w:rPr>
      </w:pPr>
    </w:p>
    <w:p w:rsidR="001465C3" w:rsidRDefault="001465C3" w:rsidP="00C66272">
      <w:pPr>
        <w:suppressAutoHyphens/>
        <w:jc w:val="center"/>
        <w:rPr>
          <w:kern w:val="1"/>
        </w:rPr>
      </w:pPr>
      <w:r>
        <w:rPr>
          <w:kern w:val="1"/>
        </w:rPr>
        <w:br w:type="page"/>
      </w:r>
    </w:p>
    <w:p w:rsidR="00AC3EA7" w:rsidRDefault="00AC3EA7" w:rsidP="00AC3EA7">
      <w:pPr>
        <w:widowControl w:val="0"/>
        <w:suppressAutoHyphens/>
        <w:ind w:left="9072"/>
      </w:pPr>
      <w:r w:rsidRPr="00415DA9">
        <w:lastRenderedPageBreak/>
        <w:t xml:space="preserve">Kokybės vadybos sistemos rizikų </w:t>
      </w:r>
      <w:r>
        <w:t>ir galimybių analizės</w:t>
      </w:r>
      <w:r w:rsidRPr="00415DA9">
        <w:t xml:space="preserve"> </w:t>
      </w:r>
    </w:p>
    <w:p w:rsidR="00AC3EA7" w:rsidRDefault="00AC3EA7" w:rsidP="00AC3EA7">
      <w:pPr>
        <w:widowControl w:val="0"/>
        <w:suppressAutoHyphens/>
        <w:ind w:left="7776" w:firstLine="1296"/>
      </w:pPr>
      <w:r w:rsidRPr="00415DA9">
        <w:t xml:space="preserve">metodikos įgyvendinimo Švenčionių rajono </w:t>
      </w:r>
    </w:p>
    <w:p w:rsidR="00AC3EA7" w:rsidRDefault="00AC3EA7" w:rsidP="00AC3EA7">
      <w:pPr>
        <w:widowControl w:val="0"/>
        <w:suppressAutoHyphens/>
        <w:ind w:left="7776" w:firstLine="1296"/>
        <w:rPr>
          <w:kern w:val="1"/>
        </w:rPr>
      </w:pPr>
      <w:r w:rsidRPr="00415DA9">
        <w:t>savivaldybės administracijoje tvark</w:t>
      </w:r>
      <w:r>
        <w:t>os</w:t>
      </w:r>
      <w:r w:rsidRPr="00415DA9">
        <w:t xml:space="preserve"> apraš</w:t>
      </w:r>
      <w:r>
        <w:t>o</w:t>
      </w:r>
    </w:p>
    <w:p w:rsidR="00AC3EA7" w:rsidRDefault="00AC3EA7" w:rsidP="00AC3EA7">
      <w:pPr>
        <w:widowControl w:val="0"/>
        <w:suppressAutoHyphens/>
        <w:ind w:left="9072"/>
        <w:rPr>
          <w:kern w:val="1"/>
        </w:rPr>
      </w:pPr>
      <w:r>
        <w:rPr>
          <w:kern w:val="1"/>
        </w:rPr>
        <w:t>4</w:t>
      </w:r>
      <w:r w:rsidRPr="00372A8A">
        <w:rPr>
          <w:kern w:val="1"/>
        </w:rPr>
        <w:t xml:space="preserve"> priedas</w:t>
      </w:r>
    </w:p>
    <w:p w:rsidR="00AC3EA7" w:rsidRPr="00372A8A" w:rsidRDefault="00AC3EA7" w:rsidP="00AC3EA7">
      <w:pPr>
        <w:widowControl w:val="0"/>
        <w:suppressAutoHyphens/>
        <w:ind w:left="9072"/>
        <w:rPr>
          <w:kern w:val="1"/>
        </w:rPr>
      </w:pPr>
    </w:p>
    <w:p w:rsidR="001465C3" w:rsidRPr="00372A8A" w:rsidRDefault="001465C3" w:rsidP="001465C3">
      <w:pPr>
        <w:suppressAutoHyphens/>
        <w:jc w:val="center"/>
        <w:rPr>
          <w:b/>
        </w:rPr>
      </w:pPr>
      <w:r w:rsidRPr="001465C3">
        <w:rPr>
          <w:b/>
        </w:rPr>
        <w:t xml:space="preserve">RIZIKOS VALDYMO SRIČIŲ GRAFIKAS </w:t>
      </w:r>
    </w:p>
    <w:p w:rsidR="001465C3" w:rsidRPr="00372A8A" w:rsidRDefault="001465C3" w:rsidP="001465C3">
      <w:pPr>
        <w:suppressAutoHyphens/>
      </w:pPr>
    </w:p>
    <w:p w:rsidR="00C66272" w:rsidRDefault="00C66272" w:rsidP="00C66272">
      <w:pPr>
        <w:suppressAutoHyphens/>
        <w:jc w:val="center"/>
        <w:rPr>
          <w:kern w:val="1"/>
        </w:rPr>
      </w:pPr>
    </w:p>
    <w:p w:rsidR="001465C3" w:rsidRDefault="001465C3" w:rsidP="00C66272">
      <w:pPr>
        <w:suppressAutoHyphens/>
        <w:jc w:val="center"/>
        <w:rPr>
          <w:kern w:val="1"/>
        </w:rPr>
      </w:pPr>
    </w:p>
    <w:tbl>
      <w:tblPr>
        <w:tblW w:w="5000" w:type="pct"/>
        <w:tblLayout w:type="fixed"/>
        <w:tblCellMar>
          <w:left w:w="10" w:type="dxa"/>
          <w:right w:w="10" w:type="dxa"/>
        </w:tblCellMar>
        <w:tblLook w:val="0000"/>
      </w:tblPr>
      <w:tblGrid>
        <w:gridCol w:w="3892"/>
        <w:gridCol w:w="3708"/>
        <w:gridCol w:w="4324"/>
        <w:gridCol w:w="3144"/>
      </w:tblGrid>
      <w:tr w:rsidR="001465C3" w:rsidTr="00C3296F">
        <w:trPr>
          <w:trHeight w:val="20"/>
          <w:tblHeader/>
        </w:trPr>
        <w:tc>
          <w:tcPr>
            <w:tcW w:w="2546"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1465C3" w:rsidRDefault="001465C3" w:rsidP="00C3296F">
            <w:pPr>
              <w:jc w:val="center"/>
              <w:rPr>
                <w:b/>
                <w:szCs w:val="22"/>
              </w:rPr>
            </w:pPr>
            <w:r>
              <w:rPr>
                <w:b/>
                <w:sz w:val="22"/>
                <w:szCs w:val="22"/>
              </w:rPr>
              <w:t>Veikla</w:t>
            </w:r>
          </w:p>
        </w:tc>
        <w:tc>
          <w:tcPr>
            <w:tcW w:w="2425"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1465C3" w:rsidRDefault="001465C3" w:rsidP="00C3296F">
            <w:pPr>
              <w:jc w:val="center"/>
              <w:rPr>
                <w:b/>
                <w:szCs w:val="22"/>
              </w:rPr>
            </w:pPr>
            <w:r>
              <w:rPr>
                <w:b/>
                <w:sz w:val="22"/>
                <w:szCs w:val="22"/>
              </w:rPr>
              <w:t>Dalyviai</w:t>
            </w:r>
          </w:p>
        </w:tc>
        <w:tc>
          <w:tcPr>
            <w:tcW w:w="2828"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rsidR="001465C3" w:rsidRDefault="001465C3" w:rsidP="00C3296F">
            <w:pPr>
              <w:jc w:val="center"/>
              <w:rPr>
                <w:b/>
                <w:szCs w:val="22"/>
              </w:rPr>
            </w:pPr>
            <w:r>
              <w:rPr>
                <w:b/>
                <w:sz w:val="22"/>
                <w:szCs w:val="22"/>
              </w:rPr>
              <w:t>Rezultatas</w:t>
            </w:r>
          </w:p>
        </w:tc>
        <w:tc>
          <w:tcPr>
            <w:tcW w:w="205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1465C3" w:rsidRDefault="001465C3" w:rsidP="00C3296F">
            <w:pPr>
              <w:jc w:val="center"/>
              <w:rPr>
                <w:b/>
                <w:szCs w:val="22"/>
              </w:rPr>
            </w:pPr>
            <w:r>
              <w:rPr>
                <w:b/>
                <w:sz w:val="22"/>
                <w:szCs w:val="22"/>
              </w:rPr>
              <w:t>Terminas</w:t>
            </w:r>
          </w:p>
        </w:tc>
      </w:tr>
      <w:tr w:rsidR="001465C3" w:rsidTr="00C3296F">
        <w:trPr>
          <w:trHeight w:val="20"/>
          <w:tblHeader/>
        </w:trPr>
        <w:tc>
          <w:tcPr>
            <w:tcW w:w="2546"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jc w:val="center"/>
              <w:rPr>
                <w:szCs w:val="22"/>
              </w:rPr>
            </w:pPr>
            <w:r>
              <w:rPr>
                <w:sz w:val="22"/>
                <w:szCs w:val="22"/>
              </w:rPr>
              <w:t>1</w:t>
            </w:r>
          </w:p>
        </w:tc>
        <w:tc>
          <w:tcPr>
            <w:tcW w:w="2425"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jc w:val="center"/>
              <w:rPr>
                <w:szCs w:val="22"/>
              </w:rPr>
            </w:pPr>
            <w:r>
              <w:rPr>
                <w:sz w:val="22"/>
                <w:szCs w:val="22"/>
              </w:rPr>
              <w:t>2</w:t>
            </w:r>
          </w:p>
        </w:tc>
        <w:tc>
          <w:tcPr>
            <w:tcW w:w="2828"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jc w:val="center"/>
              <w:rPr>
                <w:szCs w:val="22"/>
              </w:rPr>
            </w:pPr>
            <w:r>
              <w:rPr>
                <w:sz w:val="22"/>
                <w:szCs w:val="22"/>
              </w:rPr>
              <w:t>3</w:t>
            </w:r>
          </w:p>
        </w:tc>
        <w:tc>
          <w:tcPr>
            <w:tcW w:w="20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465C3" w:rsidRDefault="001465C3" w:rsidP="00C3296F">
            <w:pPr>
              <w:jc w:val="center"/>
              <w:rPr>
                <w:szCs w:val="22"/>
              </w:rPr>
            </w:pPr>
            <w:r>
              <w:rPr>
                <w:sz w:val="22"/>
                <w:szCs w:val="22"/>
              </w:rPr>
              <w:t>4</w:t>
            </w:r>
          </w:p>
        </w:tc>
      </w:tr>
      <w:tr w:rsidR="001465C3" w:rsidTr="00C3296F">
        <w:trPr>
          <w:trHeight w:val="20"/>
        </w:trPr>
        <w:tc>
          <w:tcPr>
            <w:tcW w:w="2546"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Rizikos valdymo proceso inicijavimas</w:t>
            </w:r>
          </w:p>
        </w:tc>
        <w:tc>
          <w:tcPr>
            <w:tcW w:w="2425"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Darbo grupė</w:t>
            </w:r>
          </w:p>
        </w:tc>
        <w:tc>
          <w:tcPr>
            <w:tcW w:w="2828"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Rizikos valdymo proceso metinio ciklo pradžia</w:t>
            </w:r>
          </w:p>
        </w:tc>
        <w:tc>
          <w:tcPr>
            <w:tcW w:w="20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 xml:space="preserve">Rugsėjo mėn. </w:t>
            </w:r>
          </w:p>
        </w:tc>
      </w:tr>
      <w:tr w:rsidR="001465C3" w:rsidTr="00C3296F">
        <w:trPr>
          <w:trHeight w:val="20"/>
        </w:trPr>
        <w:tc>
          <w:tcPr>
            <w:tcW w:w="2546"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 xml:space="preserve">Veiklos rizikos veiksnių nustatymas </w:t>
            </w:r>
          </w:p>
        </w:tc>
        <w:tc>
          <w:tcPr>
            <w:tcW w:w="2425"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Padalinių v</w:t>
            </w:r>
            <w:r w:rsidR="00087A9E">
              <w:rPr>
                <w:sz w:val="22"/>
                <w:szCs w:val="22"/>
              </w:rPr>
              <w:t>adovai</w:t>
            </w:r>
            <w:r>
              <w:rPr>
                <w:sz w:val="22"/>
                <w:szCs w:val="22"/>
              </w:rPr>
              <w:t xml:space="preserve"> su pavaldžiais darbuotojais</w:t>
            </w:r>
          </w:p>
        </w:tc>
        <w:tc>
          <w:tcPr>
            <w:tcW w:w="2828"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Detalūs rizikos veiksnių registrai – nustatyti rizikos veiksniai</w:t>
            </w:r>
          </w:p>
        </w:tc>
        <w:tc>
          <w:tcPr>
            <w:tcW w:w="20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 xml:space="preserve">Iki spalio 15 d. </w:t>
            </w:r>
          </w:p>
        </w:tc>
      </w:tr>
      <w:tr w:rsidR="001465C3" w:rsidTr="00C3296F">
        <w:trPr>
          <w:trHeight w:val="20"/>
        </w:trPr>
        <w:tc>
          <w:tcPr>
            <w:tcW w:w="2546"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 xml:space="preserve">Bendro sąrašo parengimas </w:t>
            </w:r>
          </w:p>
          <w:p w:rsidR="001465C3" w:rsidRDefault="001465C3" w:rsidP="00C3296F">
            <w:pPr>
              <w:rPr>
                <w:szCs w:val="22"/>
              </w:rPr>
            </w:pPr>
            <w:r>
              <w:rPr>
                <w:sz w:val="22"/>
                <w:szCs w:val="22"/>
              </w:rPr>
              <w:t>Rizikos tikimybės ir poveikio vertinimas</w:t>
            </w:r>
          </w:p>
        </w:tc>
        <w:tc>
          <w:tcPr>
            <w:tcW w:w="2425"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Darbo grupė</w:t>
            </w:r>
          </w:p>
        </w:tc>
        <w:tc>
          <w:tcPr>
            <w:tcW w:w="2828"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Detalus rizikos veiksnių registras – įvertinti rizika</w:t>
            </w:r>
          </w:p>
        </w:tc>
        <w:tc>
          <w:tcPr>
            <w:tcW w:w="20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 xml:space="preserve">Iki lapkričio 15 d.  </w:t>
            </w:r>
          </w:p>
        </w:tc>
      </w:tr>
      <w:tr w:rsidR="001465C3" w:rsidTr="00C3296F">
        <w:trPr>
          <w:trHeight w:val="20"/>
        </w:trPr>
        <w:tc>
          <w:tcPr>
            <w:tcW w:w="2546"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Rizikos valdymo priemonių nustatymas</w:t>
            </w:r>
          </w:p>
        </w:tc>
        <w:tc>
          <w:tcPr>
            <w:tcW w:w="2425"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Darbo grupė</w:t>
            </w:r>
          </w:p>
        </w:tc>
        <w:tc>
          <w:tcPr>
            <w:tcW w:w="2828"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Detalus rizikos veiksnių registras – įvertinti rizikos veiksniai – rizikos valdymo priemonės</w:t>
            </w:r>
          </w:p>
        </w:tc>
        <w:tc>
          <w:tcPr>
            <w:tcW w:w="20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Iki gruodžio 1 d.</w:t>
            </w:r>
          </w:p>
        </w:tc>
      </w:tr>
      <w:tr w:rsidR="001465C3" w:rsidTr="00C3296F">
        <w:trPr>
          <w:trHeight w:val="20"/>
        </w:trPr>
        <w:tc>
          <w:tcPr>
            <w:tcW w:w="2546"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r>
              <w:rPr>
                <w:sz w:val="22"/>
                <w:szCs w:val="22"/>
              </w:rPr>
              <w:t xml:space="preserve">Bendro rizikos veiksnių valdymo plano  </w:t>
            </w:r>
            <w:r>
              <w:rPr>
                <w:spacing w:val="-6"/>
                <w:sz w:val="22"/>
                <w:szCs w:val="22"/>
              </w:rPr>
              <w:t>parengimas ir suderinimas</w:t>
            </w:r>
          </w:p>
        </w:tc>
        <w:tc>
          <w:tcPr>
            <w:tcW w:w="2425"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Darbo grupė, padalinių vadovai</w:t>
            </w:r>
          </w:p>
        </w:tc>
        <w:tc>
          <w:tcPr>
            <w:tcW w:w="2828"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Bendras  rizikos veiksnių valdymo planas</w:t>
            </w:r>
          </w:p>
        </w:tc>
        <w:tc>
          <w:tcPr>
            <w:tcW w:w="20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Iki gruodžio 15 d.</w:t>
            </w:r>
          </w:p>
        </w:tc>
      </w:tr>
      <w:tr w:rsidR="001465C3" w:rsidTr="00C3296F">
        <w:trPr>
          <w:trHeight w:val="20"/>
        </w:trPr>
        <w:tc>
          <w:tcPr>
            <w:tcW w:w="2546"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Bendro rizikos veiksnių valdymo plano  Administracijos direktoriui</w:t>
            </w:r>
          </w:p>
        </w:tc>
        <w:tc>
          <w:tcPr>
            <w:tcW w:w="2425"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Darbo grupė</w:t>
            </w:r>
          </w:p>
        </w:tc>
        <w:tc>
          <w:tcPr>
            <w:tcW w:w="2828"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Patvirtintas apibendrintas rizikos veiksnių registras</w:t>
            </w:r>
          </w:p>
        </w:tc>
        <w:tc>
          <w:tcPr>
            <w:tcW w:w="20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Iki gruodžio 20 d.</w:t>
            </w:r>
          </w:p>
        </w:tc>
      </w:tr>
      <w:tr w:rsidR="001465C3" w:rsidTr="00C3296F">
        <w:trPr>
          <w:trHeight w:val="20"/>
        </w:trPr>
        <w:tc>
          <w:tcPr>
            <w:tcW w:w="2546"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Rizikos valdymo priemonių vykdymo organizavimas ir vykdymas</w:t>
            </w:r>
          </w:p>
        </w:tc>
        <w:tc>
          <w:tcPr>
            <w:tcW w:w="2425"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Padalinių v</w:t>
            </w:r>
            <w:r w:rsidR="00087A9E">
              <w:rPr>
                <w:sz w:val="22"/>
                <w:szCs w:val="22"/>
              </w:rPr>
              <w:t>adovai</w:t>
            </w:r>
            <w:r>
              <w:rPr>
                <w:sz w:val="22"/>
                <w:szCs w:val="22"/>
              </w:rPr>
              <w:t xml:space="preserve"> ir darbuotojai</w:t>
            </w:r>
          </w:p>
        </w:tc>
        <w:tc>
          <w:tcPr>
            <w:tcW w:w="2828"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Rizikos valdymo priemonių planas</w:t>
            </w:r>
          </w:p>
        </w:tc>
        <w:tc>
          <w:tcPr>
            <w:tcW w:w="20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 xml:space="preserve">Nuo sekančių metų sausio 1 d. </w:t>
            </w:r>
          </w:p>
        </w:tc>
      </w:tr>
      <w:tr w:rsidR="001465C3" w:rsidTr="00C3296F">
        <w:trPr>
          <w:trHeight w:val="20"/>
        </w:trPr>
        <w:tc>
          <w:tcPr>
            <w:tcW w:w="2546"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Rizikos valdymo sistemos monitoringas</w:t>
            </w:r>
          </w:p>
        </w:tc>
        <w:tc>
          <w:tcPr>
            <w:tcW w:w="2425"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 xml:space="preserve">Padalinių </w:t>
            </w:r>
            <w:r w:rsidR="00087A9E">
              <w:rPr>
                <w:sz w:val="22"/>
                <w:szCs w:val="22"/>
              </w:rPr>
              <w:t>vadovai</w:t>
            </w:r>
            <w:r>
              <w:rPr>
                <w:sz w:val="22"/>
                <w:szCs w:val="22"/>
              </w:rPr>
              <w:t xml:space="preserve"> ir darbuotojai</w:t>
            </w:r>
          </w:p>
        </w:tc>
        <w:tc>
          <w:tcPr>
            <w:tcW w:w="2828" w:type="dxa"/>
            <w:tcBorders>
              <w:left w:val="single" w:sz="8" w:space="0" w:color="000000"/>
              <w:bottom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Ketvirtinės rizikos valdymo priemonių įgyvendinimo rezultatų ataskaitos peržiūra</w:t>
            </w:r>
          </w:p>
        </w:tc>
        <w:tc>
          <w:tcPr>
            <w:tcW w:w="20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1465C3" w:rsidRDefault="001465C3" w:rsidP="00C3296F">
            <w:pPr>
              <w:rPr>
                <w:szCs w:val="22"/>
              </w:rPr>
            </w:pPr>
            <w:r>
              <w:rPr>
                <w:sz w:val="22"/>
                <w:szCs w:val="22"/>
              </w:rPr>
              <w:t>Kiekvieną ketvirtį</w:t>
            </w:r>
          </w:p>
        </w:tc>
      </w:tr>
    </w:tbl>
    <w:p w:rsidR="001465C3" w:rsidRDefault="001465C3" w:rsidP="00C66272">
      <w:pPr>
        <w:suppressAutoHyphens/>
        <w:jc w:val="center"/>
        <w:rPr>
          <w:kern w:val="1"/>
        </w:rPr>
      </w:pPr>
    </w:p>
    <w:p w:rsidR="00C66272" w:rsidRPr="00372A8A" w:rsidRDefault="00C66272" w:rsidP="00C66272">
      <w:pPr>
        <w:suppressAutoHyphens/>
        <w:jc w:val="center"/>
      </w:pPr>
      <w:r w:rsidRPr="00372A8A">
        <w:rPr>
          <w:kern w:val="1"/>
        </w:rPr>
        <w:t>_________________</w:t>
      </w:r>
    </w:p>
    <w:p w:rsidR="00C66272" w:rsidRPr="00E31AE7" w:rsidRDefault="00C66272" w:rsidP="00E31AE7">
      <w:pPr>
        <w:rPr>
          <w:szCs w:val="28"/>
          <w:lang w:eastAsia="lt-LT"/>
        </w:rPr>
      </w:pPr>
    </w:p>
    <w:sectPr w:rsidR="00C66272" w:rsidRPr="00E31AE7" w:rsidSect="00FD79D4">
      <w:pgSz w:w="16838" w:h="11906" w:orient="landscape" w:code="9"/>
      <w:pgMar w:top="1701" w:right="993" w:bottom="567" w:left="993" w:header="560" w:footer="686" w:gutter="0"/>
      <w:pgNumType w:start="1"/>
      <w:cols w:space="1296"/>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EC" w:rsidRDefault="00172FEC" w:rsidP="0068457A">
      <w:r>
        <w:separator/>
      </w:r>
    </w:p>
  </w:endnote>
  <w:endnote w:type="continuationSeparator" w:id="0">
    <w:p w:rsidR="00172FEC" w:rsidRDefault="00172FEC" w:rsidP="0068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5D" w:rsidRDefault="00172FEC">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5D" w:rsidRDefault="00172FEC">
    <w:pPr>
      <w:ind w:right="227"/>
      <w:jc w:val="right"/>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5D" w:rsidRDefault="00172FEC">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EC" w:rsidRDefault="00172FEC" w:rsidP="0068457A">
      <w:r>
        <w:separator/>
      </w:r>
    </w:p>
  </w:footnote>
  <w:footnote w:type="continuationSeparator" w:id="0">
    <w:p w:rsidR="00172FEC" w:rsidRDefault="00172FEC" w:rsidP="00684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5D" w:rsidRDefault="00E6264A">
    <w:pPr>
      <w:framePr w:wrap="auto" w:vAnchor="text" w:hAnchor="margin" w:xAlign="center" w:y="1"/>
      <w:tabs>
        <w:tab w:val="center" w:pos="4153"/>
        <w:tab w:val="right" w:pos="8306"/>
      </w:tabs>
      <w:rPr>
        <w:lang w:eastAsia="lt-LT"/>
      </w:rPr>
    </w:pPr>
    <w:r>
      <w:rPr>
        <w:lang w:eastAsia="lt-LT"/>
      </w:rPr>
      <w:fldChar w:fldCharType="begin"/>
    </w:r>
    <w:r w:rsidR="003B4A9C">
      <w:rPr>
        <w:lang w:eastAsia="lt-LT"/>
      </w:rPr>
      <w:instrText xml:space="preserve">PAGE  </w:instrText>
    </w:r>
    <w:r>
      <w:rPr>
        <w:lang w:eastAsia="lt-LT"/>
      </w:rPr>
      <w:fldChar w:fldCharType="end"/>
    </w:r>
  </w:p>
  <w:p w:rsidR="00495D5D" w:rsidRDefault="00172FEC">
    <w:pPr>
      <w:tabs>
        <w:tab w:val="center" w:pos="4153"/>
        <w:tab w:val="right" w:pos="8306"/>
      </w:tabs>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5D" w:rsidRDefault="00E6264A">
    <w:pPr>
      <w:framePr w:wrap="auto" w:vAnchor="text" w:hAnchor="margin" w:xAlign="center" w:y="1"/>
      <w:tabs>
        <w:tab w:val="center" w:pos="4153"/>
        <w:tab w:val="right" w:pos="8306"/>
      </w:tabs>
      <w:rPr>
        <w:lang w:eastAsia="lt-LT"/>
      </w:rPr>
    </w:pPr>
    <w:r>
      <w:rPr>
        <w:lang w:eastAsia="lt-LT"/>
      </w:rPr>
      <w:fldChar w:fldCharType="begin"/>
    </w:r>
    <w:r w:rsidR="003B4A9C">
      <w:rPr>
        <w:lang w:eastAsia="lt-LT"/>
      </w:rPr>
      <w:instrText xml:space="preserve">PAGE  </w:instrText>
    </w:r>
    <w:r>
      <w:rPr>
        <w:lang w:eastAsia="lt-LT"/>
      </w:rPr>
      <w:fldChar w:fldCharType="separate"/>
    </w:r>
    <w:r w:rsidR="00497028">
      <w:rPr>
        <w:noProof/>
        <w:lang w:eastAsia="lt-LT"/>
      </w:rPr>
      <w:t>4</w:t>
    </w:r>
    <w:r>
      <w:rPr>
        <w:lang w:eastAsia="lt-LT"/>
      </w:rPr>
      <w:fldChar w:fldCharType="end"/>
    </w:r>
  </w:p>
  <w:p w:rsidR="00495D5D" w:rsidRDefault="00172FEC">
    <w:pPr>
      <w:tabs>
        <w:tab w:val="center" w:pos="4153"/>
        <w:tab w:val="right" w:pos="8306"/>
      </w:tabs>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D5D" w:rsidRDefault="00172FEC">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67C6"/>
    <w:multiLevelType w:val="multilevel"/>
    <w:tmpl w:val="0A582D80"/>
    <w:lvl w:ilvl="0">
      <w:start w:val="1"/>
      <w:numFmt w:val="decimal"/>
      <w:lvlText w:val="%1."/>
      <w:lvlJc w:val="left"/>
      <w:pPr>
        <w:ind w:left="1080" w:hanging="360"/>
      </w:pPr>
      <w:rPr>
        <w:rFonts w:ascii="Times New Roman" w:hAnsi="Times New Roman" w:cs="Times New Roman" w:hint="default"/>
        <w:sz w:val="24"/>
        <w:szCs w:val="28"/>
      </w:rPr>
    </w:lvl>
    <w:lvl w:ilvl="1">
      <w:start w:val="1"/>
      <w:numFmt w:val="decimal"/>
      <w:isLgl/>
      <w:lvlText w:val="%1.%2."/>
      <w:lvlJc w:val="left"/>
      <w:pPr>
        <w:ind w:left="1215" w:hanging="495"/>
      </w:pPr>
      <w:rPr>
        <w:rFonts w:hint="default"/>
        <w:b w:val="0"/>
        <w:bCs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BE344C6"/>
    <w:multiLevelType w:val="hybridMultilevel"/>
    <w:tmpl w:val="71BA7ECA"/>
    <w:lvl w:ilvl="0" w:tplc="910AC1A8">
      <w:start w:val="1"/>
      <w:numFmt w:val="decimal"/>
      <w:lvlText w:val="%1."/>
      <w:lvlJc w:val="left"/>
      <w:pPr>
        <w:ind w:left="720" w:hanging="360"/>
      </w:pPr>
      <w:rPr>
        <w:color w:val="548DD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5CE1B0D"/>
    <w:multiLevelType w:val="hybridMultilevel"/>
    <w:tmpl w:val="BC741C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A390479"/>
    <w:multiLevelType w:val="multilevel"/>
    <w:tmpl w:val="0C94DF1E"/>
    <w:lvl w:ilvl="0">
      <w:start w:val="1"/>
      <w:numFmt w:val="decimal"/>
      <w:lvlText w:val="%1."/>
      <w:lvlJc w:val="left"/>
      <w:pPr>
        <w:ind w:left="1080" w:hanging="360"/>
      </w:pPr>
      <w:rPr>
        <w:rFonts w:ascii="Times New Roman" w:hAnsi="Times New Roman" w:cs="Times New Roman" w:hint="default"/>
        <w:sz w:val="24"/>
        <w:szCs w:val="28"/>
      </w:rPr>
    </w:lvl>
    <w:lvl w:ilvl="1">
      <w:start w:val="1"/>
      <w:numFmt w:val="decimal"/>
      <w:isLgl/>
      <w:lvlText w:val="%1.%2."/>
      <w:lvlJc w:val="left"/>
      <w:pPr>
        <w:ind w:left="1215" w:hanging="495"/>
      </w:pPr>
      <w:rPr>
        <w:rFonts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54F4B7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4D3EF0"/>
    <w:multiLevelType w:val="hybridMultilevel"/>
    <w:tmpl w:val="2F48354C"/>
    <w:lvl w:ilvl="0" w:tplc="56EC00DC">
      <w:start w:val="1"/>
      <w:numFmt w:val="decimal"/>
      <w:lvlText w:val="%1."/>
      <w:lvlJc w:val="left"/>
      <w:pPr>
        <w:ind w:left="36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06F16CC"/>
    <w:multiLevelType w:val="multilevel"/>
    <w:tmpl w:val="0C94DF1E"/>
    <w:lvl w:ilvl="0">
      <w:start w:val="1"/>
      <w:numFmt w:val="decimal"/>
      <w:lvlText w:val="%1."/>
      <w:lvlJc w:val="left"/>
      <w:pPr>
        <w:ind w:left="1080" w:hanging="360"/>
      </w:pPr>
      <w:rPr>
        <w:rFonts w:ascii="Times New Roman" w:hAnsi="Times New Roman" w:cs="Times New Roman" w:hint="default"/>
        <w:sz w:val="24"/>
        <w:szCs w:val="28"/>
      </w:rPr>
    </w:lvl>
    <w:lvl w:ilvl="1">
      <w:start w:val="1"/>
      <w:numFmt w:val="decimal"/>
      <w:isLgl/>
      <w:lvlText w:val="%1.%2."/>
      <w:lvlJc w:val="left"/>
      <w:pPr>
        <w:ind w:left="1215" w:hanging="495"/>
      </w:pPr>
      <w:rPr>
        <w:rFonts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32A6DC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4052B8"/>
    <w:multiLevelType w:val="multilevel"/>
    <w:tmpl w:val="F910A3E4"/>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266227"/>
    <w:multiLevelType w:val="multilevel"/>
    <w:tmpl w:val="3DB018FE"/>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9986A83"/>
    <w:multiLevelType w:val="hybridMultilevel"/>
    <w:tmpl w:val="04AA3502"/>
    <w:lvl w:ilvl="0" w:tplc="0A107514">
      <w:start w:val="2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A62243B"/>
    <w:multiLevelType w:val="multilevel"/>
    <w:tmpl w:val="0C94DF1E"/>
    <w:lvl w:ilvl="0">
      <w:start w:val="1"/>
      <w:numFmt w:val="decimal"/>
      <w:lvlText w:val="%1."/>
      <w:lvlJc w:val="left"/>
      <w:pPr>
        <w:ind w:left="1080" w:hanging="360"/>
      </w:pPr>
      <w:rPr>
        <w:rFonts w:ascii="Times New Roman" w:hAnsi="Times New Roman" w:cs="Times New Roman" w:hint="default"/>
        <w:sz w:val="24"/>
        <w:szCs w:val="28"/>
      </w:rPr>
    </w:lvl>
    <w:lvl w:ilvl="1">
      <w:start w:val="1"/>
      <w:numFmt w:val="decimal"/>
      <w:isLgl/>
      <w:lvlText w:val="%1.%2."/>
      <w:lvlJc w:val="left"/>
      <w:pPr>
        <w:ind w:left="1215" w:hanging="495"/>
      </w:pPr>
      <w:rPr>
        <w:rFonts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61827102"/>
    <w:multiLevelType w:val="multilevel"/>
    <w:tmpl w:val="34ECC3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675526F"/>
    <w:multiLevelType w:val="hybridMultilevel"/>
    <w:tmpl w:val="40D0DD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3"/>
  </w:num>
  <w:num w:numId="5">
    <w:abstractNumId w:val="9"/>
  </w:num>
  <w:num w:numId="6">
    <w:abstractNumId w:val="7"/>
  </w:num>
  <w:num w:numId="7">
    <w:abstractNumId w:val="4"/>
  </w:num>
  <w:num w:numId="8">
    <w:abstractNumId w:val="0"/>
  </w:num>
  <w:num w:numId="9">
    <w:abstractNumId w:val="3"/>
  </w:num>
  <w:num w:numId="10">
    <w:abstractNumId w:val="11"/>
  </w:num>
  <w:num w:numId="11">
    <w:abstractNumId w:val="6"/>
  </w:num>
  <w:num w:numId="12">
    <w:abstractNumId w:val="1"/>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F22DAB"/>
    <w:rsid w:val="0001668E"/>
    <w:rsid w:val="00027549"/>
    <w:rsid w:val="00040AB9"/>
    <w:rsid w:val="00046262"/>
    <w:rsid w:val="00047ABA"/>
    <w:rsid w:val="00052B05"/>
    <w:rsid w:val="00062C9E"/>
    <w:rsid w:val="00063717"/>
    <w:rsid w:val="00067679"/>
    <w:rsid w:val="00087A9E"/>
    <w:rsid w:val="00090B42"/>
    <w:rsid w:val="00095101"/>
    <w:rsid w:val="00095204"/>
    <w:rsid w:val="000A66FA"/>
    <w:rsid w:val="000B5CCA"/>
    <w:rsid w:val="000B66D8"/>
    <w:rsid w:val="000C72D6"/>
    <w:rsid w:val="000D3D00"/>
    <w:rsid w:val="000D6B4A"/>
    <w:rsid w:val="0011757B"/>
    <w:rsid w:val="001279BF"/>
    <w:rsid w:val="001465C3"/>
    <w:rsid w:val="0014690B"/>
    <w:rsid w:val="00147FA2"/>
    <w:rsid w:val="00154417"/>
    <w:rsid w:val="00172FEC"/>
    <w:rsid w:val="0018437E"/>
    <w:rsid w:val="001912B8"/>
    <w:rsid w:val="001A697B"/>
    <w:rsid w:val="001D3B1A"/>
    <w:rsid w:val="001F7C8E"/>
    <w:rsid w:val="001F7E03"/>
    <w:rsid w:val="00214181"/>
    <w:rsid w:val="00241161"/>
    <w:rsid w:val="0026067D"/>
    <w:rsid w:val="002614ED"/>
    <w:rsid w:val="00263F16"/>
    <w:rsid w:val="00277D46"/>
    <w:rsid w:val="0028231C"/>
    <w:rsid w:val="00282381"/>
    <w:rsid w:val="002A3F1F"/>
    <w:rsid w:val="002C307E"/>
    <w:rsid w:val="002C7E61"/>
    <w:rsid w:val="002D4899"/>
    <w:rsid w:val="002D77C4"/>
    <w:rsid w:val="002F659B"/>
    <w:rsid w:val="00310B5A"/>
    <w:rsid w:val="00314E3F"/>
    <w:rsid w:val="003465C5"/>
    <w:rsid w:val="00353737"/>
    <w:rsid w:val="00370877"/>
    <w:rsid w:val="00375CCF"/>
    <w:rsid w:val="00382097"/>
    <w:rsid w:val="00383A99"/>
    <w:rsid w:val="00386241"/>
    <w:rsid w:val="003A4336"/>
    <w:rsid w:val="003B32B6"/>
    <w:rsid w:val="003B3D96"/>
    <w:rsid w:val="003B4A9C"/>
    <w:rsid w:val="003D2D45"/>
    <w:rsid w:val="003D5993"/>
    <w:rsid w:val="003D7292"/>
    <w:rsid w:val="003E1B43"/>
    <w:rsid w:val="003F7354"/>
    <w:rsid w:val="004068CF"/>
    <w:rsid w:val="00415DA9"/>
    <w:rsid w:val="004172CC"/>
    <w:rsid w:val="004242A5"/>
    <w:rsid w:val="00424E0B"/>
    <w:rsid w:val="004324A0"/>
    <w:rsid w:val="004408EA"/>
    <w:rsid w:val="0045670B"/>
    <w:rsid w:val="00456D8C"/>
    <w:rsid w:val="0047786A"/>
    <w:rsid w:val="00496E30"/>
    <w:rsid w:val="00497028"/>
    <w:rsid w:val="004C3ACC"/>
    <w:rsid w:val="004D2C39"/>
    <w:rsid w:val="004F5D1E"/>
    <w:rsid w:val="00501D09"/>
    <w:rsid w:val="00544B9E"/>
    <w:rsid w:val="00566E7A"/>
    <w:rsid w:val="005B2D29"/>
    <w:rsid w:val="005B644A"/>
    <w:rsid w:val="005D1600"/>
    <w:rsid w:val="005F71AA"/>
    <w:rsid w:val="00604077"/>
    <w:rsid w:val="006233F6"/>
    <w:rsid w:val="00634871"/>
    <w:rsid w:val="00641662"/>
    <w:rsid w:val="006477CD"/>
    <w:rsid w:val="00647C9E"/>
    <w:rsid w:val="0068457A"/>
    <w:rsid w:val="006B5A7F"/>
    <w:rsid w:val="006C492D"/>
    <w:rsid w:val="006C49F2"/>
    <w:rsid w:val="006C5A85"/>
    <w:rsid w:val="006D01E3"/>
    <w:rsid w:val="006E3388"/>
    <w:rsid w:val="00722713"/>
    <w:rsid w:val="00753253"/>
    <w:rsid w:val="00755F8E"/>
    <w:rsid w:val="00772230"/>
    <w:rsid w:val="00775B9D"/>
    <w:rsid w:val="00797259"/>
    <w:rsid w:val="007A49C8"/>
    <w:rsid w:val="007B1F67"/>
    <w:rsid w:val="007D6A9C"/>
    <w:rsid w:val="007E4B5D"/>
    <w:rsid w:val="00832512"/>
    <w:rsid w:val="00835FC3"/>
    <w:rsid w:val="00863CE8"/>
    <w:rsid w:val="008677CC"/>
    <w:rsid w:val="00872B2B"/>
    <w:rsid w:val="008754C8"/>
    <w:rsid w:val="00883968"/>
    <w:rsid w:val="00884D32"/>
    <w:rsid w:val="00887677"/>
    <w:rsid w:val="008903BE"/>
    <w:rsid w:val="008930CD"/>
    <w:rsid w:val="00893222"/>
    <w:rsid w:val="00894442"/>
    <w:rsid w:val="0089595B"/>
    <w:rsid w:val="008B0E36"/>
    <w:rsid w:val="008B1C2D"/>
    <w:rsid w:val="008C315C"/>
    <w:rsid w:val="008D1B1C"/>
    <w:rsid w:val="008D3D13"/>
    <w:rsid w:val="008F6E1B"/>
    <w:rsid w:val="00910E09"/>
    <w:rsid w:val="0093106A"/>
    <w:rsid w:val="00937A7B"/>
    <w:rsid w:val="009553B8"/>
    <w:rsid w:val="0096077A"/>
    <w:rsid w:val="00962823"/>
    <w:rsid w:val="00964743"/>
    <w:rsid w:val="00985B6B"/>
    <w:rsid w:val="009A1BEA"/>
    <w:rsid w:val="009B0610"/>
    <w:rsid w:val="009B5B3F"/>
    <w:rsid w:val="009C03DC"/>
    <w:rsid w:val="009E71C9"/>
    <w:rsid w:val="009F07BE"/>
    <w:rsid w:val="009F56F8"/>
    <w:rsid w:val="00A32653"/>
    <w:rsid w:val="00A417B0"/>
    <w:rsid w:val="00A43189"/>
    <w:rsid w:val="00A46922"/>
    <w:rsid w:val="00A50EEA"/>
    <w:rsid w:val="00A53972"/>
    <w:rsid w:val="00A53976"/>
    <w:rsid w:val="00A5544A"/>
    <w:rsid w:val="00A61621"/>
    <w:rsid w:val="00A671A6"/>
    <w:rsid w:val="00A748A0"/>
    <w:rsid w:val="00A961DB"/>
    <w:rsid w:val="00A96297"/>
    <w:rsid w:val="00A96F18"/>
    <w:rsid w:val="00AA5A39"/>
    <w:rsid w:val="00AC1C6C"/>
    <w:rsid w:val="00AC3EA7"/>
    <w:rsid w:val="00AE22C9"/>
    <w:rsid w:val="00AE33A4"/>
    <w:rsid w:val="00AF611B"/>
    <w:rsid w:val="00B02BE6"/>
    <w:rsid w:val="00B24857"/>
    <w:rsid w:val="00B45BD4"/>
    <w:rsid w:val="00B64653"/>
    <w:rsid w:val="00B67918"/>
    <w:rsid w:val="00B8034F"/>
    <w:rsid w:val="00B93B9E"/>
    <w:rsid w:val="00BA76E1"/>
    <w:rsid w:val="00BB7C52"/>
    <w:rsid w:val="00BD3065"/>
    <w:rsid w:val="00BD3976"/>
    <w:rsid w:val="00BE1F37"/>
    <w:rsid w:val="00C07C68"/>
    <w:rsid w:val="00C10956"/>
    <w:rsid w:val="00C24A55"/>
    <w:rsid w:val="00C31B85"/>
    <w:rsid w:val="00C571F3"/>
    <w:rsid w:val="00C66272"/>
    <w:rsid w:val="00C77026"/>
    <w:rsid w:val="00C95E14"/>
    <w:rsid w:val="00CA5174"/>
    <w:rsid w:val="00CA5388"/>
    <w:rsid w:val="00CB524C"/>
    <w:rsid w:val="00CC4D72"/>
    <w:rsid w:val="00CC4ED7"/>
    <w:rsid w:val="00CE57B8"/>
    <w:rsid w:val="00CF5F35"/>
    <w:rsid w:val="00D152A9"/>
    <w:rsid w:val="00D237D4"/>
    <w:rsid w:val="00D67FC7"/>
    <w:rsid w:val="00D765AD"/>
    <w:rsid w:val="00D90F11"/>
    <w:rsid w:val="00D977E9"/>
    <w:rsid w:val="00DA19FD"/>
    <w:rsid w:val="00DB5506"/>
    <w:rsid w:val="00DE0FB0"/>
    <w:rsid w:val="00DE6D7C"/>
    <w:rsid w:val="00DE74A8"/>
    <w:rsid w:val="00E01803"/>
    <w:rsid w:val="00E11C16"/>
    <w:rsid w:val="00E15218"/>
    <w:rsid w:val="00E20877"/>
    <w:rsid w:val="00E20E76"/>
    <w:rsid w:val="00E31AE7"/>
    <w:rsid w:val="00E5351D"/>
    <w:rsid w:val="00E6264A"/>
    <w:rsid w:val="00E6367C"/>
    <w:rsid w:val="00E63681"/>
    <w:rsid w:val="00E67D37"/>
    <w:rsid w:val="00E874E6"/>
    <w:rsid w:val="00EB3482"/>
    <w:rsid w:val="00EB3D82"/>
    <w:rsid w:val="00EC1040"/>
    <w:rsid w:val="00EC123F"/>
    <w:rsid w:val="00ED5D51"/>
    <w:rsid w:val="00F10F56"/>
    <w:rsid w:val="00F20218"/>
    <w:rsid w:val="00F22DAB"/>
    <w:rsid w:val="00F43538"/>
    <w:rsid w:val="00F466B2"/>
    <w:rsid w:val="00F60D27"/>
    <w:rsid w:val="00F72BF2"/>
    <w:rsid w:val="00FC7A09"/>
    <w:rsid w:val="00FD79D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4899"/>
    <w:pPr>
      <w:spacing w:after="0" w:line="240" w:lineRule="auto"/>
    </w:pPr>
    <w:rPr>
      <w:rFonts w:ascii="Times New Roman" w:eastAsia="Times New Roman" w:hAnsi="Times New Roman" w:cs="Times New Roman"/>
      <w:sz w:val="24"/>
      <w:szCs w:val="20"/>
    </w:rPr>
  </w:style>
  <w:style w:type="paragraph" w:styleId="Antrat1">
    <w:name w:val="heading 1"/>
    <w:aliases w:val="Heading 1 Skyrius"/>
    <w:basedOn w:val="prastasis"/>
    <w:next w:val="prastasis"/>
    <w:link w:val="Antrat1Diagrama"/>
    <w:uiPriority w:val="9"/>
    <w:qFormat/>
    <w:rsid w:val="00FC7A09"/>
    <w:pPr>
      <w:keepNext/>
      <w:keepLines/>
      <w:spacing w:after="240" w:line="259" w:lineRule="auto"/>
      <w:jc w:val="center"/>
      <w:outlineLvl w:val="0"/>
    </w:pPr>
    <w:rPr>
      <w:rFonts w:asciiTheme="minorHAnsi" w:eastAsiaTheme="majorEastAsia" w:hAnsiTheme="minorHAnsi" w:cstheme="majorBidi"/>
      <w:b/>
      <w:sz w:val="28"/>
      <w:szCs w:val="32"/>
    </w:rPr>
  </w:style>
  <w:style w:type="paragraph" w:styleId="Antrat2">
    <w:name w:val="heading 2"/>
    <w:aliases w:val="Heading 2 Poskyris"/>
    <w:basedOn w:val="prastasis"/>
    <w:next w:val="prastasis"/>
    <w:link w:val="Antrat2Diagrama"/>
    <w:uiPriority w:val="9"/>
    <w:semiHidden/>
    <w:unhideWhenUsed/>
    <w:qFormat/>
    <w:rsid w:val="00FC7A09"/>
    <w:pPr>
      <w:keepNext/>
      <w:keepLines/>
      <w:spacing w:before="40" w:line="259" w:lineRule="auto"/>
      <w:outlineLvl w:val="1"/>
    </w:pPr>
    <w:rPr>
      <w:rFonts w:asciiTheme="minorHAnsi" w:eastAsiaTheme="majorEastAsia" w:hAnsiTheme="minorHAnsi" w:cstheme="majorBidi"/>
      <w:sz w:val="22"/>
      <w:szCs w:val="26"/>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eading 1 Skyrius Diagrama"/>
    <w:basedOn w:val="Numatytasispastraiposriftas"/>
    <w:link w:val="Antrat1"/>
    <w:uiPriority w:val="9"/>
    <w:rsid w:val="00FC7A09"/>
    <w:rPr>
      <w:rFonts w:eastAsiaTheme="majorEastAsia" w:cstheme="majorBidi"/>
      <w:b/>
      <w:sz w:val="28"/>
      <w:szCs w:val="32"/>
    </w:rPr>
  </w:style>
  <w:style w:type="paragraph" w:styleId="Antrinispavadinimas">
    <w:name w:val="Subtitle"/>
    <w:aliases w:val="Subskyrius"/>
    <w:basedOn w:val="prastasis"/>
    <w:next w:val="prastasis"/>
    <w:link w:val="AntrinispavadinimasDiagrama"/>
    <w:uiPriority w:val="11"/>
    <w:qFormat/>
    <w:rsid w:val="00E5351D"/>
    <w:pPr>
      <w:numPr>
        <w:ilvl w:val="1"/>
      </w:numPr>
      <w:spacing w:after="160" w:line="259" w:lineRule="auto"/>
    </w:pPr>
    <w:rPr>
      <w:rFonts w:asciiTheme="minorHAnsi" w:eastAsiaTheme="minorEastAsia" w:hAnsiTheme="minorHAnsi" w:cstheme="minorBidi"/>
      <w:color w:val="5A5A5A" w:themeColor="text1" w:themeTint="A5"/>
      <w:spacing w:val="15"/>
      <w:sz w:val="22"/>
      <w:szCs w:val="22"/>
      <w:u w:val="single"/>
    </w:rPr>
  </w:style>
  <w:style w:type="character" w:customStyle="1" w:styleId="AntrinispavadinimasDiagrama">
    <w:name w:val="Antrinis pavadinimas Diagrama"/>
    <w:aliases w:val="Subskyrius Diagrama"/>
    <w:basedOn w:val="Numatytasispastraiposriftas"/>
    <w:link w:val="Antrinispavadinimas"/>
    <w:uiPriority w:val="11"/>
    <w:rsid w:val="00E5351D"/>
    <w:rPr>
      <w:rFonts w:eastAsiaTheme="minorEastAsia"/>
      <w:color w:val="5A5A5A" w:themeColor="text1" w:themeTint="A5"/>
      <w:spacing w:val="15"/>
      <w:u w:val="single"/>
    </w:rPr>
  </w:style>
  <w:style w:type="paragraph" w:customStyle="1" w:styleId="Subskyriuss">
    <w:name w:val="Subskyriuss"/>
    <w:basedOn w:val="prastasis"/>
    <w:link w:val="SubskyriussChar"/>
    <w:qFormat/>
    <w:rsid w:val="00E5351D"/>
    <w:pPr>
      <w:spacing w:after="160" w:line="259" w:lineRule="auto"/>
    </w:pPr>
    <w:rPr>
      <w:rFonts w:asciiTheme="minorHAnsi" w:eastAsiaTheme="minorHAnsi" w:hAnsiTheme="minorHAnsi" w:cstheme="minorBidi"/>
      <w:sz w:val="22"/>
      <w:szCs w:val="22"/>
      <w:u w:val="single"/>
    </w:rPr>
  </w:style>
  <w:style w:type="character" w:customStyle="1" w:styleId="SubskyriussChar">
    <w:name w:val="Subskyriuss Char"/>
    <w:basedOn w:val="Numatytasispastraiposriftas"/>
    <w:link w:val="Subskyriuss"/>
    <w:rsid w:val="00E5351D"/>
    <w:rPr>
      <w:u w:val="single"/>
    </w:rPr>
  </w:style>
  <w:style w:type="character" w:customStyle="1" w:styleId="Antrat2Diagrama">
    <w:name w:val="Antraštė 2 Diagrama"/>
    <w:aliases w:val="Heading 2 Poskyris Diagrama"/>
    <w:basedOn w:val="Numatytasispastraiposriftas"/>
    <w:link w:val="Antrat2"/>
    <w:uiPriority w:val="9"/>
    <w:semiHidden/>
    <w:rsid w:val="00FC7A09"/>
    <w:rPr>
      <w:rFonts w:eastAsiaTheme="majorEastAsia" w:cstheme="majorBidi"/>
      <w:szCs w:val="26"/>
      <w:u w:val="single"/>
    </w:rPr>
  </w:style>
  <w:style w:type="paragraph" w:customStyle="1" w:styleId="Skyrius">
    <w:name w:val="Skyrius"/>
    <w:basedOn w:val="Sraopastraipa"/>
    <w:link w:val="SkyriusChar"/>
    <w:autoRedefine/>
    <w:qFormat/>
    <w:rsid w:val="00C77026"/>
    <w:pPr>
      <w:spacing w:after="120" w:line="240" w:lineRule="auto"/>
      <w:ind w:left="0"/>
      <w:jc w:val="center"/>
    </w:pPr>
    <w:rPr>
      <w:rFonts w:ascii="Times New Roman" w:eastAsia="Times New Roman" w:hAnsi="Times New Roman" w:cs="Times New Roman"/>
      <w:b/>
      <w:sz w:val="28"/>
      <w:szCs w:val="24"/>
    </w:rPr>
  </w:style>
  <w:style w:type="character" w:customStyle="1" w:styleId="SkyriusChar">
    <w:name w:val="Skyrius Char"/>
    <w:basedOn w:val="Numatytasispastraiposriftas"/>
    <w:link w:val="Skyrius"/>
    <w:rsid w:val="00C77026"/>
    <w:rPr>
      <w:rFonts w:ascii="Times New Roman" w:eastAsia="Times New Roman" w:hAnsi="Times New Roman" w:cs="Times New Roman"/>
      <w:b/>
      <w:sz w:val="28"/>
      <w:szCs w:val="24"/>
    </w:rPr>
  </w:style>
  <w:style w:type="paragraph" w:styleId="Sraopastraipa">
    <w:name w:val="List Paragraph"/>
    <w:basedOn w:val="prastasis"/>
    <w:uiPriority w:val="34"/>
    <w:qFormat/>
    <w:rsid w:val="00A96F18"/>
    <w:pPr>
      <w:spacing w:after="160" w:line="259" w:lineRule="auto"/>
      <w:ind w:left="720"/>
      <w:contextualSpacing/>
    </w:pPr>
    <w:rPr>
      <w:rFonts w:asciiTheme="minorHAnsi" w:eastAsiaTheme="minorHAnsi" w:hAnsiTheme="minorHAnsi" w:cstheme="minorBidi"/>
      <w:sz w:val="22"/>
      <w:szCs w:val="22"/>
    </w:rPr>
  </w:style>
  <w:style w:type="paragraph" w:customStyle="1" w:styleId="Poskyris">
    <w:name w:val="Poskyris"/>
    <w:basedOn w:val="Skyrius"/>
    <w:link w:val="PoskyrisChar"/>
    <w:autoRedefine/>
    <w:qFormat/>
    <w:rsid w:val="00C77026"/>
    <w:pPr>
      <w:contextualSpacing w:val="0"/>
    </w:pPr>
    <w:rPr>
      <w:bCs/>
      <w:sz w:val="24"/>
      <w:szCs w:val="28"/>
    </w:rPr>
  </w:style>
  <w:style w:type="character" w:customStyle="1" w:styleId="PoskyrisChar">
    <w:name w:val="Poskyris Char"/>
    <w:basedOn w:val="SkyriusChar"/>
    <w:link w:val="Poskyris"/>
    <w:rsid w:val="00C77026"/>
    <w:rPr>
      <w:rFonts w:ascii="Times New Roman" w:eastAsia="Times New Roman" w:hAnsi="Times New Roman" w:cs="Times New Roman"/>
      <w:b/>
      <w:bCs/>
      <w:sz w:val="24"/>
      <w:szCs w:val="28"/>
    </w:rPr>
  </w:style>
  <w:style w:type="table" w:styleId="Lentelstinklelis">
    <w:name w:val="Table Grid"/>
    <w:basedOn w:val="prastojilentel"/>
    <w:rsid w:val="002D4899"/>
    <w:pPr>
      <w:suppressAutoHyphens/>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415DA9"/>
    <w:pPr>
      <w:tabs>
        <w:tab w:val="center" w:pos="4513"/>
        <w:tab w:val="right" w:pos="9026"/>
      </w:tabs>
    </w:pPr>
    <w:rPr>
      <w:rFonts w:asciiTheme="minorHAnsi" w:eastAsiaTheme="minorHAnsi" w:hAnsiTheme="minorHAnsi" w:cstheme="minorBidi"/>
      <w:sz w:val="22"/>
      <w:szCs w:val="22"/>
    </w:rPr>
  </w:style>
  <w:style w:type="character" w:customStyle="1" w:styleId="PoratDiagrama">
    <w:name w:val="Poraštė Diagrama"/>
    <w:basedOn w:val="Numatytasispastraiposriftas"/>
    <w:link w:val="Porat"/>
    <w:uiPriority w:val="99"/>
    <w:rsid w:val="00415DA9"/>
  </w:style>
  <w:style w:type="paragraph" w:customStyle="1" w:styleId="NUMERACIJA">
    <w:name w:val="NUMERACIJA"/>
    <w:basedOn w:val="prastasis"/>
    <w:rsid w:val="00415DA9"/>
    <w:pPr>
      <w:jc w:val="both"/>
    </w:pPr>
    <w:rPr>
      <w:szCs w:val="24"/>
    </w:rPr>
  </w:style>
  <w:style w:type="character" w:styleId="Hipersaitas">
    <w:name w:val="Hyperlink"/>
    <w:basedOn w:val="Numatytasispastraiposriftas"/>
    <w:uiPriority w:val="99"/>
    <w:unhideWhenUsed/>
    <w:rsid w:val="005D1600"/>
    <w:rPr>
      <w:color w:val="0563C1" w:themeColor="hyperlink"/>
      <w:u w:val="single"/>
    </w:rPr>
  </w:style>
  <w:style w:type="character" w:customStyle="1" w:styleId="UnresolvedMention">
    <w:name w:val="Unresolved Mention"/>
    <w:basedOn w:val="Numatytasispastraiposriftas"/>
    <w:uiPriority w:val="99"/>
    <w:semiHidden/>
    <w:unhideWhenUsed/>
    <w:rsid w:val="005D1600"/>
    <w:rPr>
      <w:color w:val="605E5C"/>
      <w:shd w:val="clear" w:color="auto" w:fill="E1DFDD"/>
    </w:rPr>
  </w:style>
  <w:style w:type="paragraph" w:styleId="Pagrindiniotekstotrauka">
    <w:name w:val="Body Text Indent"/>
    <w:basedOn w:val="prastasis"/>
    <w:link w:val="PagrindiniotekstotraukaDiagrama"/>
    <w:semiHidden/>
    <w:rsid w:val="000B66D8"/>
    <w:pPr>
      <w:suppressAutoHyphens/>
      <w:ind w:left="720"/>
      <w:jc w:val="both"/>
    </w:pPr>
    <w:rPr>
      <w:szCs w:val="24"/>
      <w:lang w:eastAsia="ar-SA"/>
    </w:rPr>
  </w:style>
  <w:style w:type="character" w:customStyle="1" w:styleId="PagrindiniotekstotraukaDiagrama">
    <w:name w:val="Pagrindinio teksto įtrauka Diagrama"/>
    <w:basedOn w:val="Numatytasispastraiposriftas"/>
    <w:link w:val="Pagrindiniotekstotrauka"/>
    <w:semiHidden/>
    <w:rsid w:val="000B66D8"/>
    <w:rPr>
      <w:rFonts w:ascii="Times New Roman" w:eastAsia="Times New Roman" w:hAnsi="Times New Roman" w:cs="Times New Roman"/>
      <w:sz w:val="24"/>
      <w:szCs w:val="24"/>
      <w:lang w:eastAsia="ar-SA"/>
    </w:rPr>
  </w:style>
  <w:style w:type="paragraph" w:styleId="Debesliotekstas">
    <w:name w:val="Balloon Text"/>
    <w:basedOn w:val="prastasis"/>
    <w:link w:val="DebesliotekstasDiagrama"/>
    <w:uiPriority w:val="99"/>
    <w:semiHidden/>
    <w:unhideWhenUsed/>
    <w:rsid w:val="0049702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70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32675">
      <w:bodyDiv w:val="1"/>
      <w:marLeft w:val="0"/>
      <w:marRight w:val="0"/>
      <w:marTop w:val="0"/>
      <w:marBottom w:val="0"/>
      <w:divBdr>
        <w:top w:val="none" w:sz="0" w:space="0" w:color="auto"/>
        <w:left w:val="none" w:sz="0" w:space="0" w:color="auto"/>
        <w:bottom w:val="none" w:sz="0" w:space="0" w:color="auto"/>
        <w:right w:val="none" w:sz="0" w:space="0" w:color="auto"/>
      </w:divBdr>
    </w:div>
    <w:div w:id="150947029">
      <w:bodyDiv w:val="1"/>
      <w:marLeft w:val="0"/>
      <w:marRight w:val="0"/>
      <w:marTop w:val="0"/>
      <w:marBottom w:val="0"/>
      <w:divBdr>
        <w:top w:val="none" w:sz="0" w:space="0" w:color="auto"/>
        <w:left w:val="none" w:sz="0" w:space="0" w:color="auto"/>
        <w:bottom w:val="none" w:sz="0" w:space="0" w:color="auto"/>
        <w:right w:val="none" w:sz="0" w:space="0" w:color="auto"/>
      </w:divBdr>
    </w:div>
    <w:div w:id="6144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vencionys.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0FA4E-78BE-4752-96BA-1CC99012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16593</Words>
  <Characters>9459</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Manager>Asta Adamonyte</Manager>
  <Company/>
  <LinksUpToDate>false</LinksUpToDate>
  <CharactersWithSpaces>26001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Didenko</dc:creator>
  <cp:keywords/>
  <dc:description/>
  <cp:lastModifiedBy>Windows User</cp:lastModifiedBy>
  <cp:revision>3</cp:revision>
  <dcterms:created xsi:type="dcterms:W3CDTF">2021-03-23T10:14:00Z</dcterms:created>
  <dcterms:modified xsi:type="dcterms:W3CDTF">2021-03-23T17:04:00Z</dcterms:modified>
  <cp:category/>
</cp:coreProperties>
</file>